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before="80" w:after="80"/>
      </w:pPr>
      <w:r>
        <w:rPr>
          <w:sz w:val="32"/>
        </w:rPr>
        <w:t>Клопотання про експертизу причин дефекту екрана телефона</w:t>
      </w:r>
    </w:p>
    <w:p>
      <w:pPr>
        <w:pStyle w:val="Heading1"/>
        <w:spacing w:before="80" w:after="80"/>
      </w:pPr>
      <w:r>
        <w:rPr>
          <w:sz w:val="24"/>
        </w:rPr>
        <w:t>Пояснення до форми AVENT</w:t>
      </w:r>
    </w:p>
    <w:p>
      <w:pPr>
        <w:spacing w:after="80" w:line="252" w:lineRule="auto"/>
      </w:pPr>
      <w:r>
        <w:rPr>
          <w:sz w:val="22"/>
        </w:rPr>
        <w:t>Цю пояснювальну частину не подавайте як текст звернення до суду. Форма починається після пояснень з окремої сторінки. Заповніть власні дані й вилучіть підказки. Редакція 09.10.2026.</w:t>
      </w:r>
    </w:p>
    <w:p>
      <w:pPr>
        <w:pStyle w:val="Heading2"/>
        <w:spacing w:before="80" w:after="80"/>
      </w:pPr>
      <w:r>
        <w:rPr>
          <w:sz w:val="24"/>
        </w:rPr>
        <w:t>Реальна практика</w:t>
      </w:r>
    </w:p>
    <w:p>
      <w:pPr>
        <w:spacing w:after="80" w:line="252" w:lineRule="auto"/>
      </w:pPr>
      <w:r>
        <w:rPr>
          <w:sz w:val="22"/>
        </w:rPr>
        <w:t>Справа №755/6450/26, рішення від 12.08.2026 (ЄДРСР №138914357). Покупець просив повернути 7 999 грн за телефон і стягнути 8 000 грн моральної шкоди, посилаючись на дефект екрана, виявлений наступного дня після купівлі. Суд відмовив: надані фото не давали змоги надійно ідентифікувати товар і його стан, а істотність недоліку не була доведена. Гарантійне правило про причину дефекту не усуває потреби довести сам недолік та підстави обраного способу захисту. Подальший перегляд, набрання законної сили та виконання окремо не перевірені.</w:t>
      </w:r>
    </w:p>
    <w:p>
      <w:pPr>
        <w:pStyle w:val="Heading2"/>
        <w:spacing w:before="80" w:after="80"/>
      </w:pPr>
      <w:r>
        <w:rPr>
          <w:sz w:val="24"/>
        </w:rPr>
        <w:t>Кому підходить</w:t>
      </w:r>
    </w:p>
    <w:p>
      <w:pPr>
        <w:spacing w:after="80" w:line="252" w:lineRule="auto"/>
      </w:pPr>
      <w:r>
        <w:rPr>
          <w:sz w:val="22"/>
        </w:rPr>
        <w:t>Учаснику споживчого спору, коли технічна причина дефекту телефона або можливість його усунення оспорені й не з’ясовані належним висновком.</w:t>
      </w:r>
    </w:p>
    <w:p>
      <w:pPr>
        <w:pStyle w:val="Heading2"/>
        <w:spacing w:before="80" w:after="80"/>
      </w:pPr>
      <w:r>
        <w:rPr>
          <w:sz w:val="24"/>
        </w:rPr>
        <w:t>Питання і об’єкт</w:t>
      </w:r>
    </w:p>
    <w:p>
      <w:pPr>
        <w:spacing w:after="80" w:line="252" w:lineRule="auto"/>
      </w:pPr>
      <w:r>
        <w:rPr>
          <w:sz w:val="22"/>
        </w:rPr>
        <w:t>Експерт досліджує технічні факти, а юридичну істотність і право на розірвання оцінює суд. Укажіть серійний номер, місце зберігання, усі втручання та порядок передачі.</w:t>
      </w:r>
    </w:p>
    <w:p>
      <w:pPr>
        <w:pStyle w:val="Heading2"/>
        <w:spacing w:before="80" w:after="80"/>
      </w:pPr>
      <w:r>
        <w:rPr>
          <w:sz w:val="24"/>
        </w:rPr>
        <w:t>Витрати</w:t>
      </w:r>
    </w:p>
    <w:p>
      <w:pPr>
        <w:spacing w:after="80" w:line="252" w:lineRule="auto"/>
      </w:pPr>
      <w:r>
        <w:rPr>
          <w:sz w:val="22"/>
        </w:rPr>
        <w:t>За клопотання про призначення експертизи окремої ставки збору немає. Вартість дослідження і її авансування вирішують окремо; пільга споживача щодо збору не покриває автоматично експертні витрати.</w:t>
      </w:r>
    </w:p>
    <w:p>
      <w:pPr>
        <w:pStyle w:val="Heading2"/>
        <w:spacing w:before="80" w:after="80"/>
      </w:pPr>
      <w:r>
        <w:rPr>
          <w:sz w:val="24"/>
        </w:rPr>
        <w:t>Джерела</w:t>
      </w:r>
    </w:p>
    <w:p>
      <w:pPr>
        <w:spacing w:after="80" w:line="252" w:lineRule="auto"/>
      </w:pPr>
      <w:r>
        <w:rPr>
          <w:sz w:val="20"/>
        </w:rPr>
        <w:t>Повний текст рішення: https://youcontrol.com.ua/catalog/court-document/138914357/</w:t>
      </w:r>
    </w:p>
    <w:p>
      <w:pPr>
        <w:spacing w:after="80" w:line="252" w:lineRule="auto"/>
      </w:pPr>
      <w:r>
        <w:rPr>
          <w:sz w:val="20"/>
        </w:rPr>
        <w:t>ЄДРСР: https://reyestr.court.gov.ua/Review/138914357</w:t>
      </w:r>
    </w:p>
    <w:p>
      <w:pPr>
        <w:spacing w:after="80" w:line="252" w:lineRule="auto"/>
      </w:pPr>
      <w:r>
        <w:rPr>
          <w:sz w:val="20"/>
        </w:rPr>
        <w:t>ЦПК України: https://zakon.rada.gov.ua/laws/show/1618-15</w:t>
      </w:r>
    </w:p>
    <w:p>
      <w:pPr>
        <w:spacing w:after="80" w:line="252" w:lineRule="auto"/>
      </w:pPr>
      <w:r>
        <w:rPr>
          <w:sz w:val="20"/>
        </w:rPr>
        <w:t>Закон про судовий збір: https://zakon.rada.gov.ua/laws/show/3674-17</w:t>
      </w:r>
    </w:p>
    <w:p>
      <w:pPr>
        <w:spacing w:after="80" w:line="252" w:lineRule="auto"/>
      </w:pPr>
      <w:r>
        <w:rPr>
          <w:sz w:val="20"/>
        </w:rPr>
        <w:t>ЦК України: https://zakon.rada.gov.ua/laws/show/435-15</w:t>
      </w:r>
    </w:p>
    <w:p>
      <w:pPr>
        <w:spacing w:after="80" w:line="252" w:lineRule="auto"/>
      </w:pPr>
      <w:r>
        <w:rPr>
          <w:sz w:val="20"/>
        </w:rPr>
        <w:t>Закон № 1023-XII про захист прав споживачів: https://zakon.rada.gov.ua/laws/show/1023-12</w:t>
      </w:r>
    </w:p>
    <w:p>
      <w:pPr>
        <w:spacing w:after="80" w:line="252" w:lineRule="auto"/>
      </w:pPr>
      <w:r>
        <w:rPr>
          <w:sz w:val="22"/>
        </w:rPr>
        <w:t>Авторська адаптація AVENT. Результат залежить від власних обставин і доказів.</w:t>
      </w:r>
    </w:p>
    <w:p>
      <w:pPr>
        <w:pageBreakBefore/>
        <w:spacing w:after="80" w:line="252" w:lineRule="auto"/>
      </w:pPr>
      <w:r>
        <w:t>До Дніпровського районного суду міста Києва</w:t>
        <w:br/>
        <w:t>[Актуальна адреса суду]</w:t>
      </w:r>
    </w:p>
    <w:p>
      <w:pPr>
        <w:spacing w:after="80" w:line="252" w:lineRule="auto"/>
      </w:pPr>
      <w:r>
        <w:t>Позивач / відповідач: [ПІБ / повне найменування]</w:t>
        <w:br/>
        <w:t>Адреса та індекс: [дані]</w:t>
        <w:br/>
        <w:t>РНОКПП / ЄДРПОУ або паспортні дані в передбачених законом випадках: [дані]</w:t>
        <w:br/>
        <w:t>Телефон, електронна пошта: [дані / відсутні]</w:t>
        <w:br/>
        <w:t>Електронний кабінет: [наявний / відсутній]</w:t>
      </w:r>
    </w:p>
    <w:p>
      <w:pPr>
        <w:spacing w:after="80" w:line="252" w:lineRule="auto"/>
      </w:pPr>
      <w:r>
        <w:t>Представник за наявності: [ПІБ, адреса, індекс, контакти, документ про повноваження]</w:t>
        <w:br/>
        <w:t>Електронний кабінет представника: [наявний / відсутній]</w:t>
      </w:r>
    </w:p>
    <w:p>
      <w:pPr>
        <w:spacing w:after="80" w:line="252" w:lineRule="auto"/>
      </w:pPr>
      <w:r>
        <w:t>Інші учасники: [повні дані кожного, процесуальний статус]</w:t>
        <w:br/>
        <w:t>Адреса та індекс, відомі РНОКПП / ЄДРПОУ, контакти: [дані / невідомо]</w:t>
        <w:br/>
        <w:t>Електронний кабінет: [наявний / відсутній / невідомо]</w:t>
        <w:br/>
        <w:t>[Повторити для кожного відповідача і третьої особи]</w:t>
      </w:r>
    </w:p>
    <w:p>
      <w:pPr>
        <w:spacing w:after="80" w:line="252" w:lineRule="auto"/>
      </w:pPr>
      <w:r>
        <w:t>Справа №[номер власної справи]</w:t>
        <w:br/>
        <w:t>Суддя: [ПІБ]</w:t>
      </w:r>
    </w:p>
    <w:p>
      <w:pPr>
        <w:pStyle w:val="Title"/>
        <w:spacing w:after="80" w:line="252" w:lineRule="auto"/>
        <w:jc w:val="center"/>
      </w:pPr>
      <w:r>
        <w:t>Клопотання про експертизу причин дефекту екрана телефона</w:t>
      </w:r>
    </w:p>
    <w:p>
      <w:pPr>
        <w:pStyle w:val="Heading2"/>
        <w:spacing w:after="80" w:line="252" w:lineRule="auto"/>
      </w:pPr>
      <w:r>
        <w:t>Технічна суперечність у спорі</w:t>
      </w:r>
    </w:p>
    <w:p>
      <w:pPr>
        <w:spacing w:after="80" w:line="252" w:lineRule="auto"/>
      </w:pPr>
      <w:r>
        <w:t>У справі про [вимога щодо якості] сторони по-різному пояснюють дефект телефона [марка, модель, серійний номер / IMEI]. Позивач стверджує [виробничий недолік], відповідач — [післяпродажне пошкодження]. Суд має визначити юридичні наслідки, але встановлення виду, механізму виникнення і можливості усунення дефекту потребує спеціальних технічних знань. Наявні докази [назви] не дають обґрунтованої відповіді на [конкретне питання].</w:t>
      </w:r>
    </w:p>
    <w:p>
      <w:pPr>
        <w:pStyle w:val="Heading2"/>
        <w:spacing w:after="80" w:line="252" w:lineRule="auto"/>
      </w:pPr>
      <w:r>
        <w:t>Підстави призначення і наявні висновки</w:t>
      </w:r>
    </w:p>
    <w:p>
      <w:pPr>
        <w:spacing w:after="80" w:line="252" w:lineRule="auto"/>
      </w:pPr>
      <w:r>
        <w:t>За статтею 103 ЦПК експертиза потрібна, якщо без спеціальних знань неможливо встановити значущі обставини і сторони не надали відповідних висновків або вони викликають обґрунтовані сумніви. Висновки експертів з цього питання [не подавались / перелік і конкретні причини сумніву]. Не прошу експерта вирішувати, хто має виграти спір, чи є недолік юридично істотним і чи слід розірвати договір.</w:t>
      </w:r>
    </w:p>
    <w:p>
      <w:pPr>
        <w:pStyle w:val="Heading2"/>
        <w:spacing w:after="80" w:line="252" w:lineRule="auto"/>
      </w:pPr>
      <w:r>
        <w:t>Об’єкт і матеріали</w:t>
      </w:r>
    </w:p>
    <w:p>
      <w:pPr>
        <w:spacing w:after="80" w:line="252" w:lineRule="auto"/>
      </w:pPr>
      <w:r>
        <w:t>Об’єкт — телефон [повна ідентифікація], зберігається у [особа, адреса]. Стан після купівлі: [ремонти, діагностика, заміна частин, втручання з датами / відсутні]; комплектність [опис]. Передання прошу оформити актом зі станом, номером і фото. Матеріали: [чек, гарантійний документ, акти, фото, технічні дані]. Дані телефону, що не стосуються дослідження, прошу не розголошувати; необхідний доступ і можливе розбирання обговорити та документувати до проведення дослідження.</w:t>
      </w:r>
    </w:p>
    <w:p>
      <w:pPr>
        <w:pStyle w:val="Heading2"/>
        <w:spacing w:after="80" w:line="252" w:lineRule="auto"/>
      </w:pPr>
      <w:r>
        <w:t>Питання експерту</w:t>
      </w:r>
    </w:p>
    <w:p>
      <w:pPr>
        <w:spacing w:after="80" w:line="252" w:lineRule="auto"/>
      </w:pPr>
      <w:r>
        <w:t>Пропоную технічні питання: які дефекти дисплея та пов’язаних компонентів має пристрій; який найбільш обґрунтований механізм їх виникнення і чи є ознаки удару, потрапляння рідини або нештатного втручання; чи могли такі дефекти існувати на дату передання з урахуванням матеріалів; чи можливо користуватись телефоном за призначенням без усунення; які роботи, деталі, орієнтовна тривалість і вартість необхідні для усунення. Якщо точно визначити час виникнення неможливо, прошу зазначити це і межі висновку, а не робити бездоказовий категоричний висновок.</w:t>
      </w:r>
    </w:p>
    <w:p>
      <w:pPr>
        <w:pStyle w:val="Heading2"/>
        <w:spacing w:after="80" w:line="252" w:lineRule="auto"/>
      </w:pPr>
      <w:r>
        <w:t>Установа, оплата і строк</w:t>
      </w:r>
    </w:p>
    <w:p>
      <w:pPr>
        <w:spacing w:after="80" w:line="252" w:lineRule="auto"/>
      </w:pPr>
      <w:r>
        <w:t>Дослідження пропоную доручити [установа / атестований експерт з відповідною спеціальністю, адреса]; компетенцію підтверджує [реєстрові дані / лист]. Попередня вартість [сума, пропозиція]; витрати авансую [особа] у строк суду з подальшим розподілом. Пільга зі збору за позов не означає автоматичну безоплатність експертизи. Клопотання подаю на стадії [стадія] до вирішення справи; зволікання не допускаю. Попередити експерта про відповідальність та визначити матеріали прошу відповідно до статті 104 ЦПК.</w:t>
      </w:r>
    </w:p>
    <w:p>
      <w:pPr>
        <w:pStyle w:val="Heading2"/>
        <w:spacing w:after="80" w:line="252" w:lineRule="auto"/>
      </w:pPr>
      <w:r>
        <w:t>Процесуальні відомості</w:t>
      </w:r>
    </w:p>
    <w:p>
      <w:pPr>
        <w:spacing w:after="80" w:line="252" w:lineRule="auto"/>
      </w:pPr>
      <w:r>
        <w:t>Заяву подаю на стадії [стадія] у строк [ухвала / застосовна норма, початок і кінець строку]. Причини неможливості подання раніше, якщо це потрібно: [обставини і докази / не застосовується]. Окремої ставки судового збору за подання цього документа немає. Копії цього документа та додатків направлено іншим учасникам [дата, спосіб, підтвердження] у порядку статті 43 ЦПК. Оригінали письмових доказів знаходяться у [особа, місце]; відповідність поданих копій оригіналам підтверджую. Повноваження представника підтверджує [документ / звертаюся особисто].</w:t>
      </w:r>
    </w:p>
    <w:p>
      <w:pPr>
        <w:pStyle w:val="Heading2"/>
        <w:spacing w:after="80" w:line="252" w:lineRule="auto"/>
      </w:pPr>
      <w:r>
        <w:t>Прошу суд</w:t>
      </w:r>
    </w:p>
    <w:p>
      <w:pPr>
        <w:spacing w:after="80" w:line="252" w:lineRule="auto"/>
      </w:pPr>
      <w:r>
        <w:t>1. Призначити судову експертизу технічного стану та причин дефекту ідентифікованого телефона [дані].</w:t>
      </w:r>
    </w:p>
    <w:p>
      <w:pPr>
        <w:spacing w:after="80" w:line="252" w:lineRule="auto"/>
      </w:pPr>
      <w:r>
        <w:t>2. Доручити дослідження [компетентна установа / експерт] і поставити наведені технічні питання в уточненій судом редакції.</w:t>
      </w:r>
    </w:p>
    <w:p>
      <w:pPr>
        <w:spacing w:after="80" w:line="252" w:lineRule="auto"/>
      </w:pPr>
      <w:r>
        <w:t>3. Визначити порядок передання пристрою і матеріалів, авансування витрат та попередження експерта за статтею 104 ЦПК.</w:t>
      </w:r>
    </w:p>
    <w:p>
      <w:pPr>
        <w:pStyle w:val="Heading2"/>
        <w:spacing w:after="80" w:line="252" w:lineRule="auto"/>
      </w:pPr>
      <w:r>
        <w:t>Додатки</w:t>
      </w:r>
    </w:p>
    <w:p>
      <w:pPr>
        <w:spacing w:after="80" w:line="252" w:lineRule="auto"/>
      </w:pPr>
      <w:r>
        <w:t>1. Документи купівлі та ідентифікації пристрою.</w:t>
      </w:r>
    </w:p>
    <w:p>
      <w:pPr>
        <w:spacing w:after="80" w:line="252" w:lineRule="auto"/>
      </w:pPr>
      <w:r>
        <w:t>2. Наявні акти перевірки, технічні висновки і фото.</w:t>
      </w:r>
    </w:p>
    <w:p>
      <w:pPr>
        <w:spacing w:after="80" w:line="252" w:lineRule="auto"/>
      </w:pPr>
      <w:r>
        <w:t>3. Докази місцезнаходження та готовності надати об’єкт.</w:t>
      </w:r>
    </w:p>
    <w:p>
      <w:pPr>
        <w:spacing w:after="80" w:line="252" w:lineRule="auto"/>
      </w:pPr>
      <w:r>
        <w:t>4. Відомості про компетентність запропонованого експерта та орієнтовну ціну за наявності.</w:t>
      </w:r>
    </w:p>
    <w:p>
      <w:pPr>
        <w:spacing w:after="80" w:line="252" w:lineRule="auto"/>
      </w:pPr>
      <w:r>
        <w:t>5. Документ про повноваження представника — за наявності.</w:t>
      </w:r>
    </w:p>
    <w:p>
      <w:pPr>
        <w:keepNext/>
        <w:spacing w:after="80" w:line="252" w:lineRule="auto"/>
      </w:pPr>
      <w:r>
        <w:t>6. Підтвердження направлення копій іншим учасникам у застосовному порядку.</w:t>
      </w:r>
    </w:p>
    <w:p>
      <w:pPr>
        <w:keepLines/>
        <w:spacing w:after="80" w:line="252" w:lineRule="auto"/>
      </w:pPr>
      <w:r>
        <w:t>[Дата]</w:t>
        <w:br/>
        <w:t>[Підпис / КЕП] [ПІБ]</w:t>
      </w:r>
    </w:p>
    <w:sectPr w:rsidR="00FC693F" w:rsidRPr="0006063C" w:rsidSect="00034616">
      <w:footerReference w:type="default" r:id="rId9"/>
      <w:pgSz w:w="12240" w:h="15840"/>
      <w:pgMar w:top="1134" w:right="1134"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4" w:lineRule="auto"/>
    </w:pPr>
    <w:rPr>
      <w:rFonts w:ascii="Times New Roman" w:hAnsi="Times New Roman"/>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20" w:line="264" w:lineRule="auto"/>
      <w:outlineLvl w:val="0"/>
    </w:pPr>
    <w:rPr>
      <w:rFonts w:asciiTheme="majorHAnsi" w:eastAsiaTheme="majorEastAsia" w:hAnsiTheme="majorHAnsi" w:cstheme="majorBidi" w:ascii="Times New Roman" w:hAnsi="Times New Roman"/>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120" w:line="264" w:lineRule="auto"/>
      <w:outlineLvl w:val="1"/>
    </w:pPr>
    <w:rPr>
      <w:rFonts w:asciiTheme="majorHAnsi" w:eastAsiaTheme="majorEastAsia" w:hAnsiTheme="majorHAnsi" w:cstheme="majorBidi" w:ascii="Times New Roman" w:hAnsi="Times New Roman"/>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120" w:line="264" w:lineRule="auto"/>
      <w:outlineLvl w:val="2"/>
    </w:pPr>
    <w:rPr>
      <w:rFonts w:asciiTheme="majorHAnsi" w:eastAsiaTheme="majorEastAsia" w:hAnsiTheme="majorHAnsi" w:cstheme="majorBidi" w:ascii="Times New Roman" w:hAnsi="Times New Roman"/>
      <w:b/>
      <w:bCs/>
      <w:color w:val="000000"/>
      <w:sz w:val="28"/>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20" w:line="264" w:lineRule="auto"/>
      <w:contextualSpacing/>
    </w:pPr>
    <w:rPr>
      <w:rFonts w:asciiTheme="majorHAnsi" w:eastAsiaTheme="majorEastAsia" w:hAnsiTheme="majorHAnsi" w:cstheme="majorBidi" w:ascii="Times New Roman" w:hAnsi="Times New Roman"/>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