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історичні дані проживання дитини на дату дарування житла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№756/12336/25, рішення від 26.03.2026 (ЄДРСР №135463534). Суд зобов’язав співвласника надати іншому співвласнику ключі від квартири та поштової скриньки. Зустрічну вимогу про недійсність дарування частки через права дітей відхилено: порушення їхніх прав на момент правочину не доведено. У самому тексті рішення зазначено 26.03.2026, повний текст складено 06.04.2026; каталог позначає його датою повного тексту. Реєстрацію дитини та фактичне користування оцінюють за конкретними доказами, без універсального правила про автоматичну недійсність чи чинність дарування.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Учаснику спору про права дитини, коли сучасний акт не підтверджує стан на дату дарування.</w:t>
      </w:r>
    </w:p>
    <w:p>
      <w:pPr>
        <w:pStyle w:val="Heading2"/>
        <w:spacing w:before="80" w:after="80"/>
      </w:pPr>
      <w:r>
        <w:rPr>
          <w:sz w:val="24"/>
        </w:rPr>
        <w:t>Обмежте дані</w:t>
      </w:r>
    </w:p>
    <w:p>
      <w:pPr>
        <w:spacing w:after="80" w:line="252" w:lineRule="auto"/>
      </w:pPr>
      <w:r>
        <w:rPr>
          <w:sz w:val="22"/>
        </w:rPr>
        <w:t>Визначте дату, об’єкт і дитину. Не запитуйте невиправдано повні особові справи.</w:t>
      </w:r>
    </w:p>
    <w:p>
      <w:pPr>
        <w:pStyle w:val="Heading2"/>
        <w:spacing w:before="80" w:after="80"/>
      </w:pPr>
      <w:r>
        <w:rPr>
          <w:sz w:val="24"/>
        </w:rPr>
        <w:t>Доказова сила</w:t>
      </w:r>
    </w:p>
    <w:p>
      <w:pPr>
        <w:spacing w:after="80" w:line="252" w:lineRule="auto"/>
      </w:pPr>
      <w:r>
        <w:rPr>
          <w:sz w:val="22"/>
        </w:rPr>
        <w:t>Історична реєстрація та фактичне користування є різними обставинами; суд оцінює їх у сукупності.</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https://youcontrol.com.ua/catalog/court-document/135463534/</w:t>
      </w:r>
    </w:p>
    <w:p>
      <w:pPr>
        <w:spacing w:after="80" w:line="252" w:lineRule="auto"/>
      </w:pPr>
      <w:r>
        <w:rPr>
          <w:sz w:val="20"/>
        </w:rPr>
        <w:t>ЄДРСР: https://reyestr.court.gov.ua/Review/135463534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охорону дитинства: https://zakon.rada.gov.ua/laws/show/2402-14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Оболонського районного суду міста Києва</w:t>
        <w:br/>
        <w:t>[Актуальна адреса суду]</w:t>
      </w:r>
    </w:p>
    <w:p>
      <w:pPr>
        <w:spacing w:after="80" w:line="252" w:lineRule="auto"/>
      </w:pPr>
      <w:r>
        <w:t>Учасник справи: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Клопотання про історичні дані проживання дитини на дату дарування житла</w:t>
      </w:r>
    </w:p>
    <w:p>
      <w:pPr>
        <w:pStyle w:val="Heading2"/>
        <w:spacing w:after="80" w:line="252" w:lineRule="auto"/>
      </w:pPr>
      <w:r>
        <w:t>Потрібний період</w:t>
      </w:r>
    </w:p>
    <w:p>
      <w:pPr>
        <w:spacing w:after="80" w:line="252" w:lineRule="auto"/>
      </w:pPr>
      <w:r>
        <w:t>У спорі щодо договору від [дата] потрібно встановити право та фактичне користування дитиною квартирою [адреса] саме на день правочину. Поданий сучасний акт від [дата] цього періоду не охоплює. Відомості потрібні для [конкретний довід], а не для збору загальної біографії дитини.</w:t>
      </w:r>
    </w:p>
    <w:p>
      <w:pPr>
        <w:pStyle w:val="Heading2"/>
        <w:spacing w:after="80" w:line="252" w:lineRule="auto"/>
      </w:pPr>
      <w:r>
        <w:t>Окремі джерела</w:t>
      </w:r>
    </w:p>
    <w:p>
      <w:pPr>
        <w:spacing w:after="80" w:line="252" w:lineRule="auto"/>
      </w:pPr>
      <w:r>
        <w:t>У [орган реєстрації, адреса] прошу історичні дані зареєстрованого місця проживання дитини [необхідні ідентифікаційні дані] за [обмежений період]. У [управитель або інший володілець] прошу наявний акт проживання від [дата, критерій пошуку] та первинні підстави його складання. Реєстрацію і фактичне проживання не ототожнюю; кожне джерело доводить своє коло обставин.</w:t>
      </w:r>
    </w:p>
    <w:p>
      <w:pPr>
        <w:pStyle w:val="Heading2"/>
        <w:spacing w:after="80" w:line="252" w:lineRule="auto"/>
      </w:pPr>
      <w:r>
        <w:t>Запит і захист даних</w:t>
      </w:r>
    </w:p>
    <w:p>
      <w:pPr>
        <w:spacing w:after="80" w:line="252" w:lineRule="auto"/>
      </w:pPr>
      <w:r>
        <w:t>Запит від [дата] вручено [доказ], відповідь [дані] не дала [матеріал] через [причина]. Мій статус і право просити дані [документи]. Пропоную обмежити копії потрібним періодом та об’єктом і вилучити дані сторонніх дітей. Не прошу нову довідку з вигаданим історичним фактом: потрібні існуючі записи чи первинні документи.</w:t>
      </w:r>
    </w:p>
    <w:p>
      <w:pPr>
        <w:pStyle w:val="Heading2"/>
        <w:spacing w:after="80" w:line="252" w:lineRule="auto"/>
      </w:pPr>
      <w:r>
        <w:t>Процесуальна підстава</w:t>
      </w:r>
    </w:p>
    <w:p>
      <w:pPr>
        <w:spacing w:after="80" w:line="252" w:lineRule="auto"/>
      </w:pPr>
      <w:r>
        <w:t>Клопотання за статтею 84 ЦПК подаю у строк статті 83 [ухвала, дати]. За пізнього звернення пояснюю незалежну причину [доказ]. Матеріали перебувають у названого володільця за [підтвердження], одержати самостійно неможливо [факт]. Прошу засвідчені копії, місце оригіналів і можливість ознайомлення у належному порядку.</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Витребувати конкретні історичні записи реєстрації та наявні акти за [визначений період].</w:t>
      </w:r>
    </w:p>
    <w:p>
      <w:pPr>
        <w:spacing w:after="80" w:line="252" w:lineRule="auto"/>
      </w:pPr>
      <w:r>
        <w:t>2. Установити строк подання або повідомлення про відсутність запису.</w:t>
      </w:r>
    </w:p>
    <w:p>
      <w:pPr>
        <w:spacing w:after="80" w:line="252" w:lineRule="auto"/>
      </w:pPr>
      <w:r>
        <w:t>3. Долучити матеріали у необхідному обсязі без нерелевантних персональних відомостей.</w:t>
      </w:r>
    </w:p>
    <w:p>
      <w:pPr>
        <w:pStyle w:val="Heading2"/>
        <w:spacing w:after="80" w:line="252" w:lineRule="auto"/>
      </w:pPr>
      <w:r>
        <w:t>Додатки</w:t>
      </w:r>
    </w:p>
    <w:p>
      <w:pPr>
        <w:spacing w:after="80" w:line="252" w:lineRule="auto"/>
      </w:pPr>
      <w:r>
        <w:t>1. Договір і наявний пізніший акт.</w:t>
      </w:r>
    </w:p>
    <w:p>
      <w:pPr>
        <w:spacing w:after="80" w:line="252" w:lineRule="auto"/>
      </w:pPr>
      <w:r>
        <w:t>2. Запити, доставка, відповіді та підтвердження статусу.</w:t>
      </w:r>
    </w:p>
    <w:p>
      <w:pPr>
        <w:spacing w:after="80" w:line="252" w:lineRule="auto"/>
      </w:pPr>
      <w:r>
        <w:t>3. Обґрунтування конкретного періоду й володільця.</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