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80" w:after="80"/>
      </w:pPr>
      <w:r>
        <w:rPr>
          <w:sz w:val="32"/>
        </w:rPr>
        <w:t>Клопотання про лінгвістичну експертизу змісту репутаційної публікації</w:t>
      </w:r>
    </w:p>
    <w:p>
      <w:pPr>
        <w:pStyle w:val="Heading1"/>
        <w:spacing w:before="80" w:after="80"/>
      </w:pPr>
      <w:r>
        <w:rPr>
          <w:sz w:val="24"/>
        </w:rPr>
        <w:t>Пояснення до форми AVENT</w:t>
      </w:r>
    </w:p>
    <w:p>
      <w:pPr>
        <w:spacing w:after="80" w:line="252" w:lineRule="auto"/>
      </w:pPr>
      <w:r>
        <w:rPr>
          <w:sz w:val="22"/>
        </w:rPr>
        <w:t>Цю пояснювальну частину не подавайте як текст звернення до суду. Форма починається після пояснень з окремої сторінки. Заповніть власні дані й вилучіть підказки. Редакція 09.10.2026.</w:t>
      </w:r>
    </w:p>
    <w:p>
      <w:pPr>
        <w:pStyle w:val="Heading2"/>
        <w:spacing w:before="80" w:after="80"/>
      </w:pPr>
      <w:r>
        <w:rPr>
          <w:sz w:val="24"/>
        </w:rPr>
        <w:t>Реальна практика</w:t>
      </w:r>
    </w:p>
    <w:p>
      <w:pPr>
        <w:spacing w:after="80" w:line="252" w:lineRule="auto"/>
      </w:pPr>
      <w:r>
        <w:rPr>
          <w:sz w:val="22"/>
        </w:rPr>
        <w:t>Справа №757/15671/26-ц, рішення від 24.07.2026 (ЄДРСР №139105495). У позові двох фізичних осіб щодо інтернет-публікації відмовлено. Суд не встановив, що оспорювані відомості про діяльність підприємства однозначно стосувалися особистої поведінки позивачів, а підтверджені відомості про їхні посади не становили недостовірного твердження. Право юридичної особи захищати власну репутацію відділено від особистого позову її працівника чи учасника. Рішення не робить будь-яку журналістську критику недоторканною і не визначає автоматично правдивість усієї публікації. Подальший перегляд, набрання законної сили та виконання окремо не перевірені.</w:t>
      </w:r>
    </w:p>
    <w:p>
      <w:pPr>
        <w:pStyle w:val="Heading2"/>
        <w:spacing w:before="80" w:after="80"/>
      </w:pPr>
      <w:r>
        <w:rPr>
          <w:sz w:val="24"/>
        </w:rPr>
        <w:t>Кому підходить</w:t>
      </w:r>
    </w:p>
    <w:p>
      <w:pPr>
        <w:spacing w:after="80" w:line="252" w:lineRule="auto"/>
      </w:pPr>
      <w:r>
        <w:rPr>
          <w:sz w:val="22"/>
        </w:rPr>
        <w:t>Учаснику спору з конкретним складним мовним питанням, а не лише незгодою зі статтею.</w:t>
      </w:r>
    </w:p>
    <w:p>
      <w:pPr>
        <w:pStyle w:val="Heading2"/>
        <w:spacing w:before="80" w:after="80"/>
      </w:pPr>
      <w:r>
        <w:rPr>
          <w:sz w:val="24"/>
        </w:rPr>
        <w:t>Межі експерта</w:t>
      </w:r>
    </w:p>
    <w:p>
      <w:pPr>
        <w:spacing w:after="80" w:line="252" w:lineRule="auto"/>
      </w:pPr>
      <w:r>
        <w:rPr>
          <w:sz w:val="22"/>
        </w:rPr>
        <w:t>Експерт досліджує мову; недостовірність, порушення права та результат позову визначає суд.</w:t>
      </w:r>
    </w:p>
    <w:p>
      <w:pPr>
        <w:pStyle w:val="Heading2"/>
        <w:spacing w:before="80" w:after="80"/>
      </w:pPr>
      <w:r>
        <w:rPr>
          <w:sz w:val="24"/>
        </w:rPr>
        <w:t>Матеріали</w:t>
      </w:r>
    </w:p>
    <w:p>
      <w:pPr>
        <w:spacing w:after="80" w:line="252" w:lineRule="auto"/>
      </w:pPr>
      <w:r>
        <w:rPr>
          <w:sz w:val="22"/>
        </w:rPr>
        <w:t>Надайте повний контекст і перевірену редакцію публікації, а не випадковий скриншот.</w:t>
      </w:r>
    </w:p>
    <w:p>
      <w:pPr>
        <w:pStyle w:val="Heading2"/>
        <w:spacing w:before="80" w:after="80"/>
      </w:pPr>
      <w:r>
        <w:rPr>
          <w:sz w:val="24"/>
        </w:rPr>
        <w:t>Джерела</w:t>
      </w:r>
    </w:p>
    <w:p>
      <w:pPr>
        <w:spacing w:after="80" w:line="252" w:lineRule="auto"/>
      </w:pPr>
      <w:r>
        <w:rPr>
          <w:sz w:val="20"/>
        </w:rPr>
        <w:t>Повний текст рішення: https://youcontrol.com.ua/catalog/court-document/139105495/</w:t>
      </w:r>
    </w:p>
    <w:p>
      <w:pPr>
        <w:spacing w:after="80" w:line="252" w:lineRule="auto"/>
      </w:pPr>
      <w:r>
        <w:rPr>
          <w:sz w:val="20"/>
        </w:rPr>
        <w:t>ЄДРСР: https://reyestr.court.gov.ua/Review/139105495</w:t>
      </w:r>
    </w:p>
    <w:p>
      <w:pPr>
        <w:spacing w:after="80" w:line="252" w:lineRule="auto"/>
      </w:pPr>
      <w:r>
        <w:rPr>
          <w:sz w:val="20"/>
        </w:rPr>
        <w:t>ЦПК України: https://zakon.rada.gov.ua/laws/show/1618-15</w:t>
      </w:r>
    </w:p>
    <w:p>
      <w:pPr>
        <w:spacing w:after="80" w:line="252" w:lineRule="auto"/>
      </w:pPr>
      <w:r>
        <w:rPr>
          <w:sz w:val="20"/>
        </w:rPr>
        <w:t>Закон про судовий збір: https://zakon.rada.gov.ua/laws/show/3674-17</w:t>
      </w:r>
    </w:p>
    <w:p>
      <w:pPr>
        <w:spacing w:after="80" w:line="252" w:lineRule="auto"/>
      </w:pPr>
      <w:r>
        <w:rPr>
          <w:sz w:val="20"/>
        </w:rPr>
        <w:t>ЦК України: https://zakon.rada.gov.ua/laws/show/435-15</w:t>
      </w:r>
    </w:p>
    <w:p>
      <w:pPr>
        <w:spacing w:after="80" w:line="252" w:lineRule="auto"/>
      </w:pPr>
      <w:r>
        <w:rPr>
          <w:sz w:val="20"/>
        </w:rPr>
        <w:t>Закон про інформацію: https://zakon.rada.gov.ua/laws/show/2657-12</w:t>
      </w:r>
    </w:p>
    <w:p>
      <w:pPr>
        <w:spacing w:after="80" w:line="252" w:lineRule="auto"/>
      </w:pPr>
      <w:r>
        <w:rPr>
          <w:sz w:val="20"/>
        </w:rPr>
        <w:t>Конвенція про захист прав людини: https://zakon.rada.gov.ua/laws/show/995_004</w:t>
      </w:r>
    </w:p>
    <w:p>
      <w:pPr>
        <w:spacing w:after="80" w:line="252" w:lineRule="auto"/>
      </w:pPr>
      <w:r>
        <w:rPr>
          <w:sz w:val="22"/>
        </w:rPr>
        <w:t>Авторська адаптація AVENT. Результат залежить від власних обставин і доказів.</w:t>
      </w:r>
    </w:p>
    <w:p>
      <w:pPr>
        <w:pageBreakBefore/>
        <w:spacing w:after="80" w:line="252" w:lineRule="auto"/>
      </w:pPr>
      <w:r>
        <w:t>До Печерського районного суду міста Києва</w:t>
        <w:br/>
        <w:t>[Актуальна адреса суду]</w:t>
      </w:r>
    </w:p>
    <w:p>
      <w:pPr>
        <w:spacing w:after="80" w:line="252" w:lineRule="auto"/>
      </w:pPr>
      <w:r>
        <w:t>Учасник справи: [ПІБ / повне найменування]</w:t>
        <w:br/>
        <w:t>Адреса та індекс: [дані]</w:t>
        <w:br/>
        <w:t>РНОКПП / ЄДРПОУ або паспортні дані в передбачених законом випадках: [дані]</w:t>
        <w:br/>
        <w:t>Телефон, електронна пошта: [дані / відсутні]</w:t>
        <w:br/>
        <w:t>Електронний кабінет: [наявний / відсутній]</w:t>
      </w:r>
    </w:p>
    <w:p>
      <w:pPr>
        <w:spacing w:after="80" w:line="252" w:lineRule="auto"/>
      </w:pPr>
      <w:r>
        <w:t>Представник за наявності: [ПІБ, адреса, індекс, контакти, документ про повноваження]</w:t>
        <w:br/>
        <w:t>Електронний кабінет представника: [наявний / відсутній]</w:t>
      </w:r>
    </w:p>
    <w:p>
      <w:pPr>
        <w:spacing w:after="80" w:line="252" w:lineRule="auto"/>
      </w:pPr>
      <w:r>
        <w:t>Інші учасники: [повні дані кожного, процесуальний статус]</w:t>
        <w:br/>
        <w:t>Адреса та індекс, відомі РНОКПП / ЄДРПОУ, контакти: [дані / невідомо]</w:t>
        <w:br/>
        <w:t>Електронний кабінет: [наявний / відсутній / невідомо]</w:t>
        <w:br/>
        <w:t>[Повторити для кожного відповідача і третьої особи]</w:t>
      </w:r>
    </w:p>
    <w:p>
      <w:pPr>
        <w:spacing w:after="80" w:line="252" w:lineRule="auto"/>
      </w:pPr>
      <w:r>
        <w:t>Справа №[номер власної справи]</w:t>
        <w:br/>
        <w:t>Суддя: [ПІБ]</w:t>
      </w:r>
    </w:p>
    <w:p>
      <w:pPr>
        <w:pStyle w:val="Title"/>
        <w:spacing w:after="80" w:line="252" w:lineRule="auto"/>
        <w:jc w:val="center"/>
      </w:pPr>
      <w:r>
        <w:t>Клопотання про лінгвістичну експертизу змісту репутаційної публікації</w:t>
      </w:r>
    </w:p>
    <w:p>
      <w:pPr>
        <w:pStyle w:val="Heading2"/>
        <w:spacing w:after="80" w:line="252" w:lineRule="auto"/>
      </w:pPr>
      <w:r>
        <w:t>Необхідність знань</w:t>
      </w:r>
    </w:p>
    <w:p>
      <w:pPr>
        <w:spacing w:after="80" w:line="252" w:lineRule="auto"/>
      </w:pPr>
      <w:r>
        <w:t>У справі [номер] спірним є мовний зміст фрагментів [текст] публікації [дата, URL]. Складність полягає у [неоднозначний референт, приховане приписування дії, інші конкретні мовні особливості]. Звичайної правової оцінки недостатньо через [пояснення потреби спеціальних знань]. Наявні висновки [немає / реквізити й конкретні сумніви].</w:t>
      </w:r>
    </w:p>
    <w:p>
      <w:pPr>
        <w:pStyle w:val="Heading2"/>
        <w:spacing w:after="80" w:line="252" w:lineRule="auto"/>
      </w:pPr>
      <w:r>
        <w:t>Об’єкт і контекст</w:t>
      </w:r>
    </w:p>
    <w:p>
      <w:pPr>
        <w:spacing w:after="80" w:line="252" w:lineRule="auto"/>
      </w:pPr>
      <w:r>
        <w:t>Експерту пропоную надати повний текст у зафіксованій редакції [файл, дата], точні спірні фрагменти та [потрібні ілюстрації або заголовок]. Автентичність і джерело [матеріали]. Не пропоную досліджувати лише вирване речення, якщо його адресат залежить від контексту. Інші публікації включаються лише за доведеного зв’язку.</w:t>
      </w:r>
    </w:p>
    <w:p>
      <w:pPr>
        <w:pStyle w:val="Heading2"/>
        <w:spacing w:after="80" w:line="252" w:lineRule="auto"/>
      </w:pPr>
      <w:r>
        <w:t>Питання фахівцю</w:t>
      </w:r>
    </w:p>
    <w:p>
      <w:pPr>
        <w:spacing w:after="80" w:line="252" w:lineRule="auto"/>
      </w:pPr>
      <w:r>
        <w:t>Пропоновані питання: який семантичний зміст мають висловлювання [текст]; кому в контексті мовно приписано дію [опис]; чи містять вони мовні ознаки повідомлення про факт або вираження оцінки. Не ставлю питання, чи інформація юридично недостовірна, чи порушено честь, хто належний відповідач і чи треба задовольнити позов: це вирішує суд. Експерт не перевіряє замість сторін істинність зовнішніх подій.</w:t>
      </w:r>
    </w:p>
    <w:p>
      <w:pPr>
        <w:pStyle w:val="Heading2"/>
        <w:spacing w:after="80" w:line="252" w:lineRule="auto"/>
      </w:pPr>
      <w:r>
        <w:t>Організація</w:t>
      </w:r>
    </w:p>
    <w:p>
      <w:pPr>
        <w:spacing w:after="80" w:line="252" w:lineRule="auto"/>
      </w:pPr>
      <w:r>
        <w:t>За статтями 102–104 ЦПК пропоную [установа, відома компетенція], позиція інших сторін щодо спільного вибору [дані]. Витрати готовий(а) попередньо оплатити [порядок], остаточний розподіл визначає суд. Заяву подаю своєчасно [стадія, строк]; незалежні причини пізнього звернення за потреби [доказ]. Прошу суд остаточно визначити правомірні питання й матеріали.</w:t>
      </w:r>
    </w:p>
    <w:p>
      <w:pPr>
        <w:pStyle w:val="Heading2"/>
        <w:spacing w:after="80" w:line="252" w:lineRule="auto"/>
      </w:pPr>
      <w:r>
        <w:t>Процесуальні відомості</w:t>
      </w:r>
    </w:p>
    <w:p>
      <w:pPr>
        <w:spacing w:after="80" w:line="252" w:lineRule="auto"/>
      </w:pPr>
      <w:r>
        <w:t>Заяву подаю на стадії [стадія] у строк [ухвала / застосовна норма, початок і кінець строку]. Причини неможливості подання раніше, якщо це потрібно: [обставини і докази / не застосовується]. Окремої ставки судового збору за подання цього документа немає. Копії цього документа та додатків направлено іншим учасникам [дата, спосіб, підтвердження] у порядку статті 43 ЦПК. Оригінали письмових доказів знаходяться у [особа, місце]; відповідність поданих копій оригіналам підтверджую. Повноваження представника підтверджує [документ / звертаюся особисто].</w:t>
      </w:r>
    </w:p>
    <w:p>
      <w:pPr>
        <w:pStyle w:val="Heading2"/>
        <w:spacing w:after="80" w:line="252" w:lineRule="auto"/>
      </w:pPr>
      <w:r>
        <w:t>Прошу суд</w:t>
      </w:r>
    </w:p>
    <w:p>
      <w:pPr>
        <w:spacing w:after="80" w:line="252" w:lineRule="auto"/>
      </w:pPr>
      <w:r>
        <w:t>1. Призначити лінгвістичну експертизу за доведеної сукупності умов статті 103 ЦПК.</w:t>
      </w:r>
    </w:p>
    <w:p>
      <w:pPr>
        <w:spacing w:after="80" w:line="252" w:lineRule="auto"/>
      </w:pPr>
      <w:r>
        <w:t>2. Поставити наведені питання у межах спеціальних знань і надати визначені матеріали повного контексту.</w:t>
      </w:r>
    </w:p>
    <w:p>
      <w:pPr>
        <w:spacing w:after="80" w:line="252" w:lineRule="auto"/>
      </w:pPr>
      <w:r>
        <w:t>3. Визначити установу, порядок попередньої оплати й направлення об’єктів за статтею 104 ЦПК.</w:t>
      </w:r>
    </w:p>
    <w:p>
      <w:pPr>
        <w:pStyle w:val="Heading2"/>
        <w:spacing w:after="80" w:line="252" w:lineRule="auto"/>
      </w:pPr>
      <w:r>
        <w:t>Додатки</w:t>
      </w:r>
    </w:p>
    <w:p>
      <w:pPr>
        <w:spacing w:after="80" w:line="252" w:lineRule="auto"/>
      </w:pPr>
      <w:r>
        <w:t>1. Повна зафіксована публікація та точні фрагменти.</w:t>
      </w:r>
    </w:p>
    <w:p>
      <w:pPr>
        <w:spacing w:after="80" w:line="252" w:lineRule="auto"/>
      </w:pPr>
      <w:r>
        <w:t>2. Обґрунтування спеціального мовного питання.</w:t>
      </w:r>
    </w:p>
    <w:p>
      <w:pPr>
        <w:spacing w:after="80" w:line="252" w:lineRule="auto"/>
      </w:pPr>
      <w:r>
        <w:t>3. Наявні висновки та конкретні сумніви за потреби.</w:t>
      </w:r>
    </w:p>
    <w:p>
      <w:pPr>
        <w:spacing w:after="80" w:line="252" w:lineRule="auto"/>
      </w:pPr>
      <w:r>
        <w:t>4. Відомості про установу і готовність оплатити дослідження.</w:t>
      </w:r>
    </w:p>
    <w:p>
      <w:pPr>
        <w:spacing w:after="80" w:line="252" w:lineRule="auto"/>
      </w:pPr>
      <w:r>
        <w:t>5. Документ про повноваження представника — за наявності.</w:t>
      </w:r>
    </w:p>
    <w:p>
      <w:pPr>
        <w:keepNext/>
        <w:spacing w:after="80" w:line="252" w:lineRule="auto"/>
      </w:pPr>
      <w:r>
        <w:t>6. Підтвердження направлення копій іншим учасникам у застосовному порядку.</w:t>
      </w:r>
    </w:p>
    <w:p>
      <w:pPr>
        <w:keepLines/>
        <w:spacing w:after="80" w:line="252" w:lineRule="auto"/>
      </w:pPr>
      <w:r>
        <w:t>[Дата]</w:t>
        <w:br/>
        <w:t>[Підпис / КЕП] [ПІБ]</w:t>
      </w:r>
    </w:p>
    <w:sectPr w:rsidR="00FC693F" w:rsidRPr="0006063C" w:rsidSect="00034616">
      <w:footerReference w:type="default" r:id="rId9"/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 w:line="264" w:lineRule="auto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64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