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огляд телефона як речового доказу</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№755/6450/26, рішення від 12.08.2026 (ЄДРСР №138914357). Покупець просив повернути 7 999 грн за телефон і стягнути 8 000 грн моральної шкоди, посилаючись на дефект екрана, виявлений наступного дня після купівлі. Суд відмовив: надані фото не давали змоги надійно ідентифікувати товар і його стан, а істотність недоліку не була доведена. Гарантійне правило про причину дефекту не усуває потреби довести сам недолік та підстави обраного способу захисту.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Для спору, де треба пов’язати фото і видимий дефект з конкретним придбаним телефоном. Форма стосується безпосереднього огляду доступного пристрою.</w:t>
      </w:r>
    </w:p>
    <w:p>
      <w:pPr>
        <w:pStyle w:val="Heading2"/>
        <w:spacing w:before="80" w:after="80"/>
      </w:pPr>
      <w:r>
        <w:rPr>
          <w:sz w:val="24"/>
        </w:rPr>
        <w:t>Відмежування</w:t>
      </w:r>
    </w:p>
    <w:p>
      <w:pPr>
        <w:spacing w:after="80" w:line="252" w:lineRule="auto"/>
      </w:pPr>
      <w:r>
        <w:rPr>
          <w:sz w:val="22"/>
        </w:rPr>
        <w:t>Видимий стан суд може дослідити як речовий доказ; причини й час дефекту за потреби встановлює експерт. Звичайний огляд у справі не є забезпеченням доказів до позову.</w:t>
      </w:r>
    </w:p>
    <w:p>
      <w:pPr>
        <w:pStyle w:val="Heading2"/>
        <w:spacing w:before="80" w:after="80"/>
      </w:pPr>
      <w:r>
        <w:rPr>
          <w:sz w:val="24"/>
        </w:rPr>
        <w:t>Строк і збір</w:t>
      </w:r>
    </w:p>
    <w:p>
      <w:pPr>
        <w:spacing w:after="80" w:line="252" w:lineRule="auto"/>
      </w:pPr>
      <w:r>
        <w:rPr>
          <w:sz w:val="22"/>
        </w:rPr>
        <w:t>Повідомте про пристрій і подайте докази у належний строк. Для засідання у спрощеному розгляді врахуйте частину сьому статті 279 ЦПК: відповідач подає клопотання у строк відзиву, позивач — з позовом або не пізніше п’яти днів від отримання відзиву. Окремої ставки збору за ці клопотання немає.</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https://youcontrol.com.ua/catalog/court-document/138914357/</w:t>
      </w:r>
    </w:p>
    <w:p>
      <w:pPr>
        <w:spacing w:after="80" w:line="252" w:lineRule="auto"/>
      </w:pPr>
      <w:r>
        <w:rPr>
          <w:sz w:val="20"/>
        </w:rPr>
        <w:t>ЄДРСР: https://reyestr.court.gov.ua/Review/138914357</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 1023-XII про захист прав споживачів: https://zakon.rada.gov.ua/laws/show/1023-12</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Дніпровського районного суду міста Києва</w:t>
        <w:br/>
        <w:t>[Актуальна адреса суду]</w:t>
      </w:r>
    </w:p>
    <w:p>
      <w:pPr>
        <w:spacing w:after="80" w:line="252" w:lineRule="auto"/>
      </w:pPr>
      <w:r>
        <w:t>Позивач / відповідач: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Клопотання про огляд телефона як речового доказу</w:t>
      </w:r>
    </w:p>
    <w:p>
      <w:pPr>
        <w:pStyle w:val="Heading2"/>
        <w:spacing w:after="80" w:line="252" w:lineRule="auto"/>
      </w:pPr>
      <w:r>
        <w:t>Навіщо потрібен огляд</w:t>
      </w:r>
    </w:p>
    <w:p>
      <w:pPr>
        <w:spacing w:after="80" w:line="252" w:lineRule="auto"/>
      </w:pPr>
      <w:r>
        <w:t>У справі спірною є ідентичність телефона [марка, модель, номер] та видимий стан його екрана. Подані фото [назва, дата] оспорюються, оскільки [не видно номера, зображення нечітке, немає зв’язку з придбаним товаром]. Прошу безпосередньо оглянути речовий доказ за статтями 97–98 і 237 ЦПК. Огляд дасть змогу зіставити пристрій із чеком, гарантійним документом та актами; він не замінює спеціального дослідження причин дефекту.</w:t>
      </w:r>
    </w:p>
    <w:p>
      <w:pPr>
        <w:pStyle w:val="Heading2"/>
        <w:spacing w:after="80" w:line="252" w:lineRule="auto"/>
      </w:pPr>
      <w:r>
        <w:t>Ідентифікація та збереження</w:t>
      </w:r>
    </w:p>
    <w:p>
      <w:pPr>
        <w:spacing w:after="80" w:line="252" w:lineRule="auto"/>
      </w:pPr>
      <w:r>
        <w:t>Пристрій зберігається у [особа, місце]. Номер на корпусі / упаковці / у доступному меню [опис]; наявні документи [перелік]. Після купівлі проведено [всі ремонти, діагностики, заміни / не проводились]. Пристрій надам у засідання [дата / за викликом]. До огляду стан збережено [спосіб], про істотні зміни повідомлю. Якщо номер доступний лише технічним способом, не прошу суд робити небезпечне розбирання: відповідне дослідження потребує фахівця.</w:t>
      </w:r>
    </w:p>
    <w:p>
      <w:pPr>
        <w:pStyle w:val="Heading2"/>
        <w:spacing w:after="80" w:line="252" w:lineRule="auto"/>
      </w:pPr>
      <w:r>
        <w:t>Запропонований порядок фіксації</w:t>
      </w:r>
    </w:p>
    <w:p>
      <w:pPr>
        <w:spacing w:after="80" w:line="252" w:lineRule="auto"/>
      </w:pPr>
      <w:r>
        <w:t>Прошу за участю сторін перевірити комплектність, видимі маркування, видимий дефект і можливість відтворити його без втручання; зіставити з документами; зафіксувати в протоколі ознаки, які дійсно спостерігаються. За необхідності виконати фотозйомку загального вигляду, номера й екрана з належною прив’язкою до оглянутого об’єкта. Відомості особистого листування, фото чи інших даних, не пов’язані з предметом доказування, не досліджувати. Увімкнення і режим перевірки узгодити так, щоб не змінювати й не знищувати доказ.</w:t>
      </w:r>
    </w:p>
    <w:p>
      <w:pPr>
        <w:pStyle w:val="Heading2"/>
        <w:spacing w:after="80" w:line="252" w:lineRule="auto"/>
      </w:pPr>
      <w:r>
        <w:t>Межі висновків і участь сторін</w:t>
      </w:r>
    </w:p>
    <w:p>
      <w:pPr>
        <w:spacing w:after="80" w:line="252" w:lineRule="auto"/>
      </w:pPr>
      <w:r>
        <w:t>Сам видимий дефект не доводить його виробничої причини, часу виникнення чи юридичної істотності. Якщо після огляду залишиться потреба у спеціальних знаннях, питання експертизи вирішується окремо. Прошу повідомити учасників про час огляду й надати можливість висловити зауваження. Якщо справу призначено лише для письмового розгляду, одночасно прошу провести розгляд із повідомленням сторін саме для безпосереднього дослідження цього речового доказу за частиною п’ятою статті 279 ЦПК; доцільність пояснюю [конкретно].</w:t>
      </w:r>
    </w:p>
    <w:p>
      <w:pPr>
        <w:pStyle w:val="Heading2"/>
        <w:spacing w:after="80" w:line="252" w:lineRule="auto"/>
      </w:pPr>
      <w:r>
        <w:t>Строк подання доказу</w:t>
      </w:r>
    </w:p>
    <w:p>
      <w:pPr>
        <w:spacing w:after="80" w:line="252" w:lineRule="auto"/>
      </w:pPr>
      <w:r>
        <w:t>Про наявність телефона як доказу повідомив(ла) [з позовом / відзивом, дата]. Подання і клопотання відповідають строкам статті 83 ЦПК; за пізнішого звернення причина [підтверджена обставина]. Фото й документи до огляду доступні іншим учасникам; надання речового доказу до суду здійснюється з належною фіксацією прийняття і повернення.</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Дослідити телефон [ідентифікація] як речовий доказ і зіставити його з поданими документами купівлі та фотографіями.</w:t>
      </w:r>
    </w:p>
    <w:p>
      <w:pPr>
        <w:spacing w:after="80" w:line="252" w:lineRule="auto"/>
      </w:pPr>
      <w:r>
        <w:t>2. Визначити час і безпечний порядок огляду з повідомленням учасників та протокольною фіксацією ознак.</w:t>
      </w:r>
    </w:p>
    <w:p>
      <w:pPr>
        <w:spacing w:after="80" w:line="252" w:lineRule="auto"/>
      </w:pPr>
      <w:r>
        <w:t>3. За письмового спрощеного розгляду — вирішити клопотання про засідання з повідомленням сторін для цього дослідження з урахуванням частин 5–7 статті 279 ЦПК.</w:t>
      </w:r>
    </w:p>
    <w:p>
      <w:pPr>
        <w:pStyle w:val="Heading2"/>
        <w:spacing w:after="80" w:line="252" w:lineRule="auto"/>
      </w:pPr>
      <w:r>
        <w:t>Додатки</w:t>
      </w:r>
    </w:p>
    <w:p>
      <w:pPr>
        <w:spacing w:after="80" w:line="252" w:lineRule="auto"/>
      </w:pPr>
      <w:r>
        <w:t>1. Чек, гарантійний документ, акт передачі з номерами.</w:t>
      </w:r>
    </w:p>
    <w:p>
      <w:pPr>
        <w:spacing w:after="80" w:line="252" w:lineRule="auto"/>
      </w:pPr>
      <w:r>
        <w:t>2. Фото і пояснення щодо ідентифікації.</w:t>
      </w:r>
    </w:p>
    <w:p>
      <w:pPr>
        <w:spacing w:after="80" w:line="252" w:lineRule="auto"/>
      </w:pPr>
      <w:r>
        <w:t>3. Підтвердження місцезнаходження, збереження та готовності надати пристрій.</w:t>
      </w:r>
    </w:p>
    <w:p>
      <w:pPr>
        <w:spacing w:after="80" w:line="252" w:lineRule="auto"/>
      </w:pPr>
      <w:r>
        <w:t>4. Пояснення строку подання, якщо потрібне.</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