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Клопотання про залучення охоронної організації у спорі щодо доступу співвласника</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№756/12336/25, рішення від 26.03.2026 (ЄДРСР №135463534). Суд зобов’язав співвласника надати іншому співвласнику ключі від квартири та поштової скриньки. Зустрічну вимогу про недійсність дарування частки через права дітей відхилено: порушення їхніх прав на момент правочину не доведено. У самому тексті рішення зазначено 26.03.2026, повний текст складено 06.04.2026; каталог позначає його датою повного тексту. Реєстрацію дитини та фактичне користування оцінюють за конкретними доказами, без універсального правила про автоматичну недійсність чи чинність дарування.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Учаснику спору про доступ, коли рішення вплине на договірні обов’язки охоронної організації.</w:t>
      </w:r>
    </w:p>
    <w:p>
      <w:pPr>
        <w:pStyle w:val="Heading2"/>
        <w:spacing w:before="80" w:after="80"/>
      </w:pPr>
      <w:r>
        <w:rPr>
          <w:sz w:val="24"/>
        </w:rPr>
        <w:t>Статус</w:t>
      </w:r>
    </w:p>
    <w:p>
      <w:pPr>
        <w:spacing w:after="80" w:line="252" w:lineRule="auto"/>
      </w:pPr>
      <w:r>
        <w:rPr>
          <w:sz w:val="22"/>
        </w:rPr>
        <w:t>Третя особа без самостійних вимог не замінює належного відповідача і не одержує нову позовну вимогу.</w:t>
      </w:r>
    </w:p>
    <w:p>
      <w:pPr>
        <w:pStyle w:val="Heading2"/>
        <w:spacing w:before="80" w:after="80"/>
      </w:pPr>
      <w:r>
        <w:rPr>
          <w:sz w:val="24"/>
        </w:rPr>
        <w:t>Безпека</w:t>
      </w:r>
    </w:p>
    <w:p>
      <w:pPr>
        <w:spacing w:after="80" w:line="252" w:lineRule="auto"/>
      </w:pPr>
      <w:r>
        <w:rPr>
          <w:sz w:val="22"/>
        </w:rPr>
        <w:t>Не включайте коди охорони чи паролі у матеріали загального доступу. Поясніть правовий вплив договору.</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https://youcontrol.com.ua/catalog/court-document/135463534/</w:t>
      </w:r>
    </w:p>
    <w:p>
      <w:pPr>
        <w:spacing w:after="80" w:line="252" w:lineRule="auto"/>
      </w:pPr>
      <w:r>
        <w:rPr>
          <w:sz w:val="20"/>
        </w:rPr>
        <w:t>ЄДРСР: https://reyestr.court.gov.ua/Review/135463534</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Закон про охорону дитинства: https://zakon.rada.gov.ua/laws/show/2402-14</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Оболонського районного суду міста Києва</w:t>
        <w:br/>
        <w:t>[Актуальна адреса суду]</w:t>
      </w:r>
    </w:p>
    <w:p>
      <w:pPr>
        <w:spacing w:after="80" w:line="252" w:lineRule="auto"/>
      </w:pPr>
      <w:r>
        <w:t>Учасник справи: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Клопотання про залучення охоронної організації у спорі щодо доступу співвласника</w:t>
      </w:r>
    </w:p>
    <w:p>
      <w:pPr>
        <w:pStyle w:val="Heading2"/>
        <w:spacing w:after="80" w:line="252" w:lineRule="auto"/>
      </w:pPr>
      <w:r>
        <w:t>Спір і договір охорони</w:t>
      </w:r>
    </w:p>
    <w:p>
      <w:pPr>
        <w:spacing w:after="80" w:line="252" w:lineRule="auto"/>
      </w:pPr>
      <w:r>
        <w:t>У справі [номер] заявлено усунення перешкод у доступі до квартири [адреса]. Сигналізацію обслуговує [повна назва, код, адреса] за договором із [сторона] від [дата]. Підставу підтверджують [договір, лист]. Фактичне обмеження полягає в [невключення до переліку уповноважених / інший доведений механізм].</w:t>
      </w:r>
    </w:p>
    <w:p>
      <w:pPr>
        <w:pStyle w:val="Heading2"/>
        <w:spacing w:after="80" w:line="252" w:lineRule="auto"/>
      </w:pPr>
      <w:r>
        <w:t>Вплив рішення</w:t>
      </w:r>
    </w:p>
    <w:p>
      <w:pPr>
        <w:spacing w:after="80" w:line="252" w:lineRule="auto"/>
      </w:pPr>
      <w:r>
        <w:t>Вирішення заявленої вимоги може вплинути на обов’язок охоронної організації щодо сторони [особа] у частині [точний пункт договору, порядок допуску]. Це конкретний договірний вплив, а не лише можливість надати інформацію. Залучення пропоную на стороні [позивач / відповідач] без самостійної вимоги за статтею 53 ЦПК.</w:t>
      </w:r>
    </w:p>
    <w:p>
      <w:pPr>
        <w:pStyle w:val="Heading2"/>
        <w:spacing w:after="80" w:line="252" w:lineRule="auto"/>
      </w:pPr>
      <w:r>
        <w:t>Межі статусу</w:t>
      </w:r>
    </w:p>
    <w:p>
      <w:pPr>
        <w:spacing w:after="80" w:line="252" w:lineRule="auto"/>
      </w:pPr>
      <w:r>
        <w:t>Цим клопотанням не заявляю стягнення чи обов’язок до третьої особи, які потребували б її статусу відповідача. Не прошу суд передати коди, паролі чи інші секрети системи охорони у відкритий текст рішення. Належний спосіб доступу [визначена організаційна дія] має враховувати договір і безпеку. У матеріалах надаю лише необхідні відомості.</w:t>
      </w:r>
    </w:p>
    <w:p>
      <w:pPr>
        <w:pStyle w:val="Heading2"/>
        <w:spacing w:after="80" w:line="252" w:lineRule="auto"/>
      </w:pPr>
      <w:r>
        <w:t>Стадія та повідомлення</w:t>
      </w:r>
    </w:p>
    <w:p>
      <w:pPr>
        <w:spacing w:after="80" w:line="252" w:lineRule="auto"/>
      </w:pPr>
      <w:r>
        <w:t>Підготовче провадження [не закінчено / інший фактичний стан]; для спрощеного розгляду перше засідання [дата, стан]. Підстави і допустимість залучення на цій стадії обґрунтовую [дані]. Копію клопотання направлено організації й учасникам [докази]; якщо застосовна стаття 54 ЦПК, додаю доказ повідомлення про відкриття справи. Самого інтересу у результаті без впливу на право чи обов’язок не заявляю.</w:t>
      </w:r>
    </w:p>
    <w:p>
      <w:pPr>
        <w:pStyle w:val="Heading2"/>
        <w:spacing w:after="80" w:line="252" w:lineRule="auto"/>
      </w:pPr>
      <w:r>
        <w:t>Процесуальні відомості</w:t>
      </w:r>
    </w:p>
    <w:p>
      <w:pPr>
        <w:spacing w:after="80" w:line="252" w:lineRule="auto"/>
      </w:pPr>
      <w:r>
        <w:t>Заяву подаю на стадії [стадія] у строк [ухвала / застосовна норма, початок і кінець строку]. Причини неможливості подання раніше, якщо це потрібно: [обставини і докази / не застосовується]. Окремої ставки судового збору за подання цього документа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Залучити [організація, код, адреса] третьою особою без самостійних вимог на стороні [сторона].</w:t>
      </w:r>
    </w:p>
    <w:p>
      <w:pPr>
        <w:spacing w:after="80" w:line="252" w:lineRule="auto"/>
      </w:pPr>
      <w:r>
        <w:t>2. Надати їй можливість подати пояснення у встановлений судом строк.</w:t>
      </w:r>
    </w:p>
    <w:p>
      <w:pPr>
        <w:pStyle w:val="Heading2"/>
        <w:spacing w:after="80" w:line="252" w:lineRule="auto"/>
      </w:pPr>
      <w:r>
        <w:t>Додатки</w:t>
      </w:r>
    </w:p>
    <w:p>
      <w:pPr>
        <w:spacing w:after="80" w:line="252" w:lineRule="auto"/>
      </w:pPr>
      <w:r>
        <w:t>1. Договір чи лист про охорону об’єкта.</w:t>
      </w:r>
    </w:p>
    <w:p>
      <w:pPr>
        <w:spacing w:after="80" w:line="252" w:lineRule="auto"/>
      </w:pPr>
      <w:r>
        <w:t>2. Матеріали конкретного блокування доступу.</w:t>
      </w:r>
    </w:p>
    <w:p>
      <w:pPr>
        <w:spacing w:after="80" w:line="252" w:lineRule="auto"/>
      </w:pPr>
      <w:r>
        <w:t>3. Докази направлення клопотання організації й учасникам.</w:t>
      </w:r>
    </w:p>
    <w:p>
      <w:pPr>
        <w:spacing w:after="80" w:line="252" w:lineRule="auto"/>
      </w:pPr>
      <w:r>
        <w:t>4. Документ про повноваження представника — за наявності.</w:t>
      </w:r>
    </w:p>
    <w:p>
      <w:pPr>
        <w:keepNext/>
        <w:spacing w:after="80" w:line="252" w:lineRule="auto"/>
      </w:pPr>
      <w:r>
        <w:t>5.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