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первісний розподіл площ і ланцюжок прав на квартиру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Учаснику інвестиційного спору, коли спірним є первісний розподіл конкретної квартири і наступний перехід прав, а необхідні договори перебувають у сторонніх осіб.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№760/13678/21, рішення Солом’янського районного суду міста Києва від 19.03.2026 (ЄДРСР №134993858). Покупець оплатив відступлення вимоги на квартиру, але суд установив розрив ланцюжка прав: зазначений продавець первісних прав не володів цією квартирою і не укладав базового договору. У визнанні власності, скасуванні реєстрації та витребуванні квартири відмовлено. Суд указав на можливість вимагати відшкодування шкоди від відповідальних осіб; такого відшкодування цим рішенням не присуджено. Подальший перегляд і набрання законної сили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Учаснику інвестиційного спору, коли спірним є первісний розподіл конкретної квартири і наступний перехід прав, а необхідні договори перебувають у сторонніх осіб.</w:t>
      </w:r>
    </w:p>
    <w:p>
      <w:pPr>
        <w:pStyle w:val="Heading2"/>
        <w:spacing w:before="80" w:after="80"/>
      </w:pPr>
      <w:r>
        <w:rPr>
          <w:sz w:val="24"/>
        </w:rPr>
        <w:t>Строк та судовий збір</w:t>
      </w:r>
    </w:p>
    <w:p>
      <w:pPr>
        <w:spacing w:after="80" w:line="252" w:lineRule="auto"/>
      </w:pPr>
      <w:r>
        <w:rPr>
          <w:sz w:val="22"/>
        </w:rPr>
        <w:t>Подайте за статтями 83–84 ЦПК у строк доказування. Окремого збору за витребування доказів у відкритій справі немає.</w:t>
      </w:r>
    </w:p>
    <w:p>
      <w:pPr>
        <w:pStyle w:val="Heading2"/>
        <w:spacing w:before="80" w:after="80"/>
      </w:pPr>
      <w:r>
        <w:rPr>
          <w:sz w:val="24"/>
        </w:rPr>
        <w:t>Перевірка прав і підсудності</w:t>
      </w:r>
    </w:p>
    <w:p>
      <w:pPr>
        <w:spacing w:after="80" w:line="252" w:lineRule="auto"/>
      </w:pPr>
      <w:r>
        <w:rPr>
          <w:sz w:val="22"/>
        </w:rPr>
        <w:t>Дослідіть весь ланцюжок прав на конкретну квартиру: первісний розподіл площ, договори, умови переходу прав, платежі та реєстрацію. Сплата посереднику не усуває відсутності прав у його попередника. Для вимог, що виникають з приводу нерухомого майна, перевірте виключну підсудність за статтею 30 ЦПК; для грошового відшкодування окремо визначте підсудність за власними вимогами й обставинами.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https://youcontrol.com.ua/catalog/court-document/134993858/</w:t>
      </w:r>
    </w:p>
    <w:p>
      <w:pPr>
        <w:spacing w:after="80" w:line="252" w:lineRule="auto"/>
      </w:pPr>
      <w:r>
        <w:rPr>
          <w:sz w:val="20"/>
        </w:rPr>
        <w:t>ЄДРСР: https://reyestr.court.gov.ua/Review/134993858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Солом’янського районного суду міста Києва</w:t>
        <w:br/>
        <w:t>[Актуальна адреса суду]</w:t>
      </w:r>
    </w:p>
    <w:p>
      <w:pPr/>
      <w:r>
        <w:t>Заявник [учасник справи]: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Клопотання про первісний розподіл площ і ланцюжок прав на квартиру</w:t>
      </w:r>
    </w:p>
    <w:p>
      <w:pPr>
        <w:pStyle w:val="Heading2"/>
      </w:pPr>
      <w:r>
        <w:t>Об’єкт та конкретні відсутні докази</w:t>
      </w:r>
    </w:p>
    <w:p>
      <w:pPr/>
      <w:r>
        <w:t>Для вирішення вимог [опис] необхідно встановити, кому первісно належали майнові права на квартиру [проектний номер, секція, поверх, площа] і хто їх передав. У матеріалах є [назви], але немає [точні документи]. Прошу витребувати [договір замовника з підрядником — конкретні реквізити; акт або протокол розподілу з позицією щодо квартири; додаток про зміну розподілу; конкретний договір відступлення; документ виконання умови переходу]. Кожна позиція стосується факту [окреме пояснення]. Прошу тільки документи щодо визначеної квартири і правовідносин, а не весь масив забудовника.</w:t>
      </w:r>
    </w:p>
    <w:p>
      <w:pPr>
        <w:pStyle w:val="Heading2"/>
      </w:pPr>
      <w:r>
        <w:t>Володільці та неможливість одержання</w:t>
      </w:r>
    </w:p>
    <w:p>
      <w:pPr/>
      <w:r>
        <w:t>Документ [назва] зберігає [повне найменування, код, адреса] на підставі [сторона договору / замовник / фінансовий посередник]. Інший документ [назва] перебуває у [володілець, підтвердження]. Запити від [дати] з конкретним переліком направлено [спосіб], вручення підтверджено [документи]. Відповіді [зміст / не надані], тому одержати матеріали самостійно неможливо [пояснення]. За статтею 84 ЦПК наводжу обставину, доказ, володільця, ужиті заходи та причину неможливості самостійного подання.</w:t>
      </w:r>
    </w:p>
    <w:p>
      <w:pPr>
        <w:pStyle w:val="Heading2"/>
      </w:pPr>
      <w:r>
        <w:t>Строк та спосіб дослідження</w:t>
      </w:r>
    </w:p>
    <w:p>
      <w:pPr/>
      <w:r>
        <w:t>Клопотання подаю разом із [позов / відзив] у строк статті 83 ЦПК. Якщо документи стали необхідні після нових доводів [кого, дата], пояснюю, коли дізнався(лась) про них і чому раніше не міг(могла) отримати [доказ]. Прошу оригінали для огляду та належні копії для справи; за великого додатка достатньо частини з конкретною квартирою разом із реквізитами цілісного документа, щоб не втрачати контекст. Питання про вчинення правочину, повноваження та дотримання умов переходу є питаннями судової оцінки; від володільця не вимагаю висновку, хто виграє спір.</w:t>
      </w:r>
    </w:p>
    <w:p>
      <w:pPr>
        <w:pStyle w:val="Heading2"/>
      </w:pPr>
      <w:r>
        <w:t>Процесуальні відомості</w:t>
      </w:r>
    </w:p>
    <w:p>
      <w:pPr/>
      <w:r>
        <w:t>Звернення подаю [дата]. Строк для подання визначено [ухвала, дата вручення, останній день / застосовна норма]. Нові докази і причини їх пізнього отримання [опис та підтвердження / не застосовується]. Попередній розрахунок витрат [збір, правнича допомога, інші витрати та суми]. Копії направлено іншим учасникам [дата, спосіб, підтвердження] відповідно до статті 43 ЦПК. Оригінали доказів знаходяться [володілець, місце]; відповідність копій оригіналам засвідчую. Відомості про електронні кабінети подано відповідно до статті 14 ЦПК; для юридичних осіб України та адвокатів реєстрація обов’язкова.</w:t>
      </w:r>
    </w:p>
    <w:p>
      <w:pPr>
        <w:pStyle w:val="Heading2"/>
      </w:pPr>
      <w:r>
        <w:t>Прошу суд</w:t>
      </w:r>
    </w:p>
    <w:p>
      <w:pPr/>
      <w:r>
        <w:t>1. Витребувати від кожного зазначеного володільця конкретний перелік документів щодо квартири [ідентифікація], як наведено в клопотанні.</w:t>
      </w:r>
    </w:p>
    <w:p>
      <w:pPr/>
      <w:r>
        <w:t>2. Встановити строк подання та забезпечити огляд оригіналів; належні копії долучити до матеріалів справи.</w:t>
      </w:r>
    </w:p>
    <w:p>
      <w:pPr/>
      <w:r>
        <w:t>3. За несвоєчасного звернення оцінити підтверджені незалежні причини неможливості подати клопотання раніше.</w:t>
      </w:r>
    </w:p>
    <w:p>
      <w:pPr>
        <w:pStyle w:val="Heading2"/>
      </w:pPr>
      <w:r>
        <w:t>Додатки</w:t>
      </w:r>
    </w:p>
    <w:p>
      <w:pPr/>
      <w:r>
        <w:t>1. Наявні документи з ідентифікацією об’єкта й посиланнями на відсутні угоди.</w:t>
      </w:r>
    </w:p>
    <w:p>
      <w:pPr/>
      <w:r>
        <w:t>2. Запити кожному володільцю, підтвердження вручення та відповіді.</w:t>
      </w:r>
    </w:p>
    <w:p>
      <w:pPr/>
      <w:r>
        <w:t>3. Документи про час отримання нової інформації за потреби.</w:t>
      </w:r>
    </w:p>
    <w:p>
      <w:pPr/>
      <w:r>
        <w:t>4. Документ про повноваження представника за наявності.</w:t>
      </w:r>
    </w:p>
    <w:p>
      <w:pPr>
        <w:keepNext/>
      </w:pPr>
      <w:r>
        <w:t>5. Підтвердження направлення копій іншим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