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журнали ЕСОЗ для перевірки технічного збою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Лікарю, який посилається на конкретний збій ЕСОЗ, але не має первинних журналів. Форма не дає доступу до чужих облікових записів.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№759/9121/23, рішення Святошинського районного суду міста Києва від 17.02.2026, ЄДРСР №134118140. Лікар оскаржила дві догани щодо оформлення декларацій в ЕСОЗ і використання часу прийому. Суд відмовив: установив посадові обов’язки та дотримання процедури, а технічну неможливість підписання декларацій вважав недоведеною. Призначена комп’ютерно-технічна експертиза не дала відповіді на частину питань поза компетенцією експерта. Форми допомагають конкретизувати докази, не стверджують незаконність доган у справі-джерелі.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Лікарю, який посилається на конкретний збій ЕСОЗ, але не має первинних журналів. Форма не дає доступу до чужих облікових записів.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за статтями 83–84 ЦПК у строк подання доказів. Збір за звичайне витребування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Трудовий позов перевірте за статтями 27–28 ЦПК, зокрема за зареєстрованим місцем проживання працівника. Чинність посадових і галузевих правил оцінюйте на дату проступку. Медичні записи й декларації мають різні правила; загальне посилання на воєнний стан не доводить конкретний збій ЕСОЗ.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https://youcontrol.com.ua/catalog/court-document/134118140/</w:t>
      </w:r>
    </w:p>
    <w:p>
      <w:pPr>
        <w:spacing w:after="80" w:line="252" w:lineRule="auto"/>
      </w:pPr>
      <w:r>
        <w:rPr>
          <w:sz w:val="20"/>
        </w:rPr>
        <w:t>ЄДРСР: https://reyestr.court.gov.ua/Review/134118140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Вибір лікаря та декларації: https://zakon.rada.gov.ua/laws/show/z0347-18</w:t>
      </w:r>
    </w:p>
    <w:p>
      <w:pPr>
        <w:spacing w:after="80" w:line="252" w:lineRule="auto"/>
      </w:pPr>
      <w:r>
        <w:rPr>
          <w:sz w:val="20"/>
        </w:rPr>
        <w:t>Ведення медичних записів: https://zakon.rada.gov.ua/laws/show/z0236-20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журнали ЕСОЗ для перевірки технічного збою</w:t>
      </w:r>
    </w:p>
    <w:p>
      <w:pPr>
        <w:pStyle w:val="Heading2"/>
      </w:pPr>
      <w:r>
        <w:t>Ідентифікація доказів</w:t>
      </w:r>
    </w:p>
    <w:p>
      <w:pPr/>
      <w:r>
        <w:t>Витребувати прошу від [заклад, адміністратор МІС, адреса] наявні журнали аудиту дій користувача [службовий ідентифікатор] за [точні дати й години]; статуси декларацій [знеособлені ідентифікатори]; записи спроб накладення підпису і відповіді системи; звернення до підтримки №[номер] та відповіді щодо цього інциденту. Не прошу паролі, секретні ключі, повний доступ до акаунта чи всі записи пацієнтів установи. Документи потрібні для конкретного доводу наказу [реквізити] про незавершені декларації.</w:t>
      </w:r>
    </w:p>
    <w:p>
      <w:pPr>
        <w:pStyle w:val="Heading2"/>
      </w:pPr>
      <w:r>
        <w:t>Предмет перевірки та володілець</w:t>
      </w:r>
    </w:p>
    <w:p>
      <w:pPr/>
      <w:r>
        <w:t>Журнали покажуть [чи були спроби, час, повідомлення помилки], статуси — [стан конкретних декларацій], підтримка — [існування й тривалість інциденту]. Наявність цих відомостей у визначеного володільця випливає з [відповідь, опис функцій, договір МІС]. [Дата] подав(ла) запит [реквізити], результат [відмова / неповна відповідь / відповіді немає], що підтверджує [документ]. Доступ після [звільнення, зміна прав] обмежений [підтвердження]. Дані не перебувають у моєму розпорядженні, тому не можу надати їх без сприяння суду.</w:t>
      </w:r>
    </w:p>
    <w:p>
      <w:pPr>
        <w:pStyle w:val="Heading2"/>
      </w:pPr>
      <w:r>
        <w:t>Форма надання та строк</w:t>
      </w:r>
    </w:p>
    <w:p>
      <w:pPr/>
      <w:r>
        <w:t>За статтями 83–84 і 100 ЦПК прошу подати електронні оригінали або допустимі належно засвідчені копії з відомостями джерела, часової зони, способу експорту й перевірки цілісності. Якщо документа не існує, володілець має повідомити причину; створення нових подій аудиту не вимагаю. Медичні діагнози, контакти й сторонні епізоди знеособити зі збереженням зв’язку потрібних ідентифікаторів. Клопотання подано [разом із позовом / пізніше з незалежної причини та доказом]. Наведені дані стосуються можливості виконати конкретний обов’язок, а не висновку експерта про законність догани.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Витребувати конкретно визначені журнали, статуси та матеріали підтримки за [період, ідентифікатори].</w:t>
      </w:r>
    </w:p>
    <w:p>
      <w:pPr/>
      <w:r>
        <w:t>2. Визначити спосіб і строк подання зі збереженням технічних реквізитів та знеособленням зайвих медичних відомостей.</w:t>
      </w:r>
    </w:p>
    <w:p>
      <w:pPr/>
      <w:r>
        <w:t>3. Надати учасникам можливість ознайомитися з отриманими доказами.</w:t>
      </w:r>
    </w:p>
    <w:p>
      <w:pPr>
        <w:pStyle w:val="Heading2"/>
      </w:pPr>
      <w:r>
        <w:t>Додатки</w:t>
      </w:r>
    </w:p>
    <w:p>
      <w:pPr/>
      <w:r>
        <w:t>1. Наказ і конкретний спірний епізод.</w:t>
      </w:r>
    </w:p>
    <w:p>
      <w:pPr/>
      <w:r>
        <w:t>2. Запит, доказ вручення, відповідь володільця.</w:t>
      </w:r>
    </w:p>
    <w:p>
      <w:pPr/>
      <w:r>
        <w:t>3. Відомості про обмеження доступу та своєчасність подання.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