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Пояснення третьої особи щодо непереданих інвестиційних прав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Залученому первісному інвестору чи правоволодільцю, коли квартира була предметом умовного відступлення і спірним є виконання умови переходу прав.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№760/13678/21, рішення Солом’янського районного суду міста Києва від 19.03.2026 (ЄДРСР №134993858). Покупець оплатив відступлення вимоги на квартиру, але суд установив розрив ланцюжка прав: зазначений продавець первісних прав не володів цією квартирою і не укладав базового договору. У визнанні власності, скасуванні реєстрації та витребуванні квартири відмовлено. Суд указав на можливість вимагати відшкодування шкоди від відповідальних осіб; такого відшкодування цим рішенням не присуджено.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Залученому первісному інвестору чи правоволодільцю, коли квартира була предметом умовного відступлення і спірним є виконання умови переходу прав.</w:t>
      </w:r>
    </w:p>
    <w:p>
      <w:pPr>
        <w:pStyle w:val="Heading2"/>
        <w:spacing w:before="80" w:after="80"/>
      </w:pPr>
      <w:r>
        <w:rPr>
          <w:sz w:val="24"/>
        </w:rPr>
        <w:t>Строк та судовий збір</w:t>
      </w:r>
    </w:p>
    <w:p>
      <w:pPr>
        <w:spacing w:after="80" w:line="252" w:lineRule="auto"/>
      </w:pPr>
      <w:r>
        <w:rPr>
          <w:sz w:val="22"/>
        </w:rPr>
        <w:t>Пояснення третьої особи подавайте у строк суду за статтею 181 ЦПК. За пояснення без самостійного позову окремий збір не справляється.</w:t>
      </w:r>
    </w:p>
    <w:p>
      <w:pPr>
        <w:pStyle w:val="Heading2"/>
        <w:spacing w:before="80" w:after="80"/>
      </w:pPr>
      <w:r>
        <w:rPr>
          <w:sz w:val="24"/>
        </w:rPr>
        <w:t>Перевірка прав і підсудності</w:t>
      </w:r>
    </w:p>
    <w:p>
      <w:pPr>
        <w:spacing w:after="80" w:line="252" w:lineRule="auto"/>
      </w:pPr>
      <w:r>
        <w:rPr>
          <w:sz w:val="22"/>
        </w:rPr>
        <w:t>Дослідіть весь ланцюжок прав на конкретну квартиру: первісний розподіл площ, договори, умови переходу прав, платежі та реєстрацію. Сплата посереднику не усуває відсутності прав у його попередника. Для вимог, що виникають з приводу нерухомого майна, перевірте виключну підсудність за статтею 30 ЦПК; для грошового відшкодування окремо визначте підсудність за власними вимогами й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https://youcontrol.com.ua/catalog/court-document/134993858/</w:t>
      </w:r>
    </w:p>
    <w:p>
      <w:pPr>
        <w:spacing w:after="80" w:line="252" w:lineRule="auto"/>
      </w:pPr>
      <w:r>
        <w:rPr>
          <w:sz w:val="20"/>
        </w:rPr>
        <w:t>ЄДРСР: https://reyestr.court.gov.ua/Review/134993858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Солом’янського районного суду міста Києва</w:t>
        <w:br/>
        <w:t>[Актуальна адреса суду]</w:t>
      </w:r>
    </w:p>
    <w:p>
      <w:pPr/>
      <w:r>
        <w:t>Третя особа без самостійних вимог: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Пояснення третьої особи щодо непереданих інвестиційних прав</w:t>
      </w:r>
    </w:p>
    <w:p>
      <w:pPr>
        <w:pStyle w:val="Heading2"/>
      </w:pPr>
      <w:r>
        <w:t>Участь третьої особи та її інтерес</w:t>
      </w:r>
    </w:p>
    <w:p>
      <w:pPr/>
      <w:r>
        <w:t>Ухвалою від [дата] мене / нашу юридичну особу залучено на стороні [сторона]. Рішення може вплинути на [конкретне право або обов’язок] за договором [реквізити], оскільки предмет спору — квартира [опис]. Ці пояснення подаю за статтею 181 ЦПК. Самостійної вимоги до квартири цим документом не заявляю; за необхідності самостійного захисту застосовуються вимоги до окремого позову третьої особи.</w:t>
      </w:r>
    </w:p>
    <w:p>
      <w:pPr>
        <w:pStyle w:val="Heading2"/>
      </w:pPr>
      <w:r>
        <w:t>Первісний інвестор та умови відступлення</w:t>
      </w:r>
    </w:p>
    <w:p>
      <w:pPr/>
      <w:r>
        <w:t>Право на конкретний об’єкт набуте на підставі [угода з належним правоволодільцем, акт розподілу, повна оплата]. Наступне відступлення від [дата] передбачало, що права переходять після [конкретна умова, повна оплата, інша погоджена дія]. Новий учасник виконав лише [частина], що підтверджує [виписка, акт]. Умова остаточного переходу [не виконана / виконана на дату — правдива позиція]. Подальше розірвання або припинення угоди підтверджує [рішення з перевіреним статусом / договір]. Ці обставини зіставляю з датою, коли посередник нібито передав права позивачу; не ототожнюю укладення угоди з виконанням умови переходу.</w:t>
      </w:r>
    </w:p>
    <w:p>
      <w:pPr>
        <w:pStyle w:val="Heading2"/>
      </w:pPr>
      <w:r>
        <w:t>Висновок щодо конкретних доводів</w:t>
      </w:r>
    </w:p>
    <w:p>
      <w:pPr/>
      <w:r>
        <w:t>Позивач посилається на [угода], однак у нашому ланцюжку [ця особа не брала участі / права не були передані саме на цей об’єкт]. Докази [послідовний перелік] дають змогу перевірити об’єкт, сторону, дату та умову кожного переходу. Повідомляю про відомі перереєстрації [перевірені відомості], а не переказую чутки. Належний статус покупця, наслідки припинення договору й ефективність способу захисту суд оцінює за всіма доказами. Якщо підстава володіння третьої особи оспорюється, наводжу конкретні документи, не оголошуючи власні обставини наперед установленими для всіх учасників.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[дата]. Строк для подання визначено [ухвала, дата вручення, останній день / застосовна норма]. Нові докази і причини їх пізнього отримання [опис та підтвердження / не застосовується]. Попередній розрахунок витрат [збір, правнича допомога, інші витрати та суми]. Копії направлено іншим учасникам [дата, спосіб, підтвердження] відповідно до статті 43 ЦПК. Оригінали доказів знаходяться [володілець, місце]; відповідність копій оригіналам засвідчую. Відомості про електронні кабінети подано відповідно до статті 14 ЦПК; для юридичних осіб України та адвокатів реєстрація обов’язкова.</w:t>
      </w:r>
    </w:p>
    <w:p>
      <w:pPr>
        <w:pStyle w:val="Heading2"/>
      </w:pPr>
      <w:r>
        <w:t>Прошу суд</w:t>
      </w:r>
    </w:p>
    <w:p>
      <w:pPr/>
      <w:r>
        <w:t>1. Долучити письмові пояснення та докази правовідносин третьої особи.</w:t>
      </w:r>
    </w:p>
    <w:p>
      <w:pPr/>
      <w:r>
        <w:t>2. Оцінити умову переходу прав, обсяг виконання та подальше припинення договору стосовно спірної квартири.</w:t>
      </w:r>
    </w:p>
    <w:p>
      <w:pPr/>
      <w:r>
        <w:t>3. Вирішити заявлені сторонами вимоги з урахуванням документованих обставин і процесуального статусу третьої особи.</w:t>
      </w:r>
    </w:p>
    <w:p>
      <w:pPr>
        <w:pStyle w:val="Heading2"/>
      </w:pPr>
      <w:r>
        <w:t>Додатки</w:t>
      </w:r>
    </w:p>
    <w:p>
      <w:pPr/>
      <w:r>
        <w:t>1. Ухвала про залучення третьої особи.</w:t>
      </w:r>
    </w:p>
    <w:p>
      <w:pPr/>
      <w:r>
        <w:t>2. Первісний договір, додаток з ідентифікацією квартири та платіжні документи.</w:t>
      </w:r>
    </w:p>
    <w:p>
      <w:pPr/>
      <w:r>
        <w:t>3. Угода відступлення з умовою переходу, докази її виконання або невиконання.</w:t>
      </w:r>
    </w:p>
    <w:p>
      <w:pPr/>
      <w:r>
        <w:t>4. Документ про припинення угоди й актуальні реєстраційні дані за наявності.</w:t>
      </w:r>
    </w:p>
    <w:p>
      <w:pPr/>
      <w:r>
        <w:t>5. Документ про повноваження представника за наявності.</w:t>
      </w:r>
    </w:p>
    <w:p>
      <w:pPr>
        <w:keepNext/>
      </w:pPr>
      <w:r>
        <w:t>6. Підтвердження направлення копій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