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Пояснення організації наймача щодо договору та заселення мешканця</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№758/3534/26, рішення від 28.05.2026 (ЄДРСР №137766386). Заочним рішенням мешканця виселено з квартири спеціального комунального житлового фонду після спору про строк договору та вимог звільнити житло. Наймачем за договором була громадська організація, яка залучена третьою особою. Суд згадує мовчазне поновлення договору, але далі виходить із його припинення; ці мотиви потрібно перевіряти за послідовністю продовжень і заперечень у власній справі. Рішення не встановлює загального правила виселення з будь-якого житла.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Організації, яка вже є третьою особою й наймачем квартири, де проживає відповідач.</w:t>
      </w:r>
    </w:p>
    <w:p>
      <w:pPr>
        <w:pStyle w:val="Heading2"/>
        <w:spacing w:before="80" w:after="80"/>
      </w:pPr>
      <w:r>
        <w:rPr>
          <w:sz w:val="24"/>
        </w:rPr>
        <w:t>Подання</w:t>
      </w:r>
    </w:p>
    <w:p>
      <w:pPr>
        <w:spacing w:after="80" w:line="252" w:lineRule="auto"/>
      </w:pPr>
      <w:r>
        <w:rPr>
          <w:sz w:val="22"/>
        </w:rPr>
        <w:t>Дотримуйтеся строку ухвали та вимог статті 181 ЦПК. За потреби залучення спершу оформіть окреме клопотання.</w:t>
      </w:r>
    </w:p>
    <w:p>
      <w:pPr>
        <w:pStyle w:val="Heading2"/>
        <w:spacing w:before="80" w:after="80"/>
      </w:pPr>
      <w:r>
        <w:rPr>
          <w:sz w:val="24"/>
        </w:rPr>
        <w:t>Межі</w:t>
      </w:r>
    </w:p>
    <w:p>
      <w:pPr>
        <w:spacing w:after="80" w:line="252" w:lineRule="auto"/>
      </w:pPr>
      <w:r>
        <w:rPr>
          <w:sz w:val="22"/>
        </w:rPr>
        <w:t>Пояснення третьої особи не замінюють позову організації чи відзиву мешканця.</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https://youcontrol.com.ua/catalog/court-document/137766386/</w:t>
      </w:r>
    </w:p>
    <w:p>
      <w:pPr>
        <w:spacing w:after="80" w:line="252" w:lineRule="auto"/>
      </w:pPr>
      <w:r>
        <w:rPr>
          <w:sz w:val="20"/>
        </w:rPr>
        <w:t>ЄДРСР: https://reyestr.court.gov.ua/Review/137766386</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Конвенція про захист прав людини: https://zakon.rada.gov.ua/laws/show/995_004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Подільського районного суду міста Києва</w:t>
        <w:br/>
        <w:t>[Актуальна адреса суду]</w:t>
      </w:r>
    </w:p>
    <w:p>
      <w:pPr>
        <w:spacing w:after="80" w:line="252" w:lineRule="auto"/>
      </w:pPr>
      <w:r>
        <w:t>Третя особа: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Пояснення організації наймача щодо договору та заселення мешканця</w:t>
      </w:r>
    </w:p>
    <w:p>
      <w:pPr>
        <w:pStyle w:val="Heading2"/>
        <w:spacing w:after="80" w:line="252" w:lineRule="auto"/>
      </w:pPr>
      <w:r>
        <w:t>Мій процесуальний статус</w:t>
      </w:r>
    </w:p>
    <w:p>
      <w:pPr>
        <w:spacing w:after="80" w:line="252" w:lineRule="auto"/>
      </w:pPr>
      <w:r>
        <w:t>Організація [назва, код] залучена ухвалою [дата] третьою особою на стороні [сторона]. Договір від [дата] укладено нами як наймачем для [мета, передбачені особи]. Рішення про виселення може вплинути на [конкретний обов’язок щодо передачі квартири / право за договором]. Цими поясненнями не заявляю самостійних вимог і не виступаю представником мешканця без повноважень.</w:t>
      </w:r>
    </w:p>
    <w:p>
      <w:pPr>
        <w:pStyle w:val="Heading2"/>
        <w:spacing w:after="80" w:line="252" w:lineRule="auto"/>
      </w:pPr>
      <w:r>
        <w:t>Заселення і повноваження</w:t>
      </w:r>
    </w:p>
    <w:p>
      <w:pPr>
        <w:spacing w:after="80" w:line="252" w:lineRule="auto"/>
      </w:pPr>
      <w:r>
        <w:t>Мешканця [особа] заселено за [рішення, акт, дата] у межах [пункт договору]. Підписант і його повноваження підтверджені [документ]. Ключі передано [коли, кому, акт]; фактичне користування і платежі [дані]. Якщо заселення здійснила інша особа, відділяю власні документи від її тверджень. Умову проживання сім’ї [точний зміст] не поширюю на невказаних осіб.</w:t>
      </w:r>
    </w:p>
    <w:p>
      <w:pPr>
        <w:pStyle w:val="Heading2"/>
        <w:spacing w:after="80" w:line="252" w:lineRule="auto"/>
      </w:pPr>
      <w:r>
        <w:t>Послідовність договору</w:t>
      </w:r>
    </w:p>
    <w:p>
      <w:pPr>
        <w:spacing w:after="80" w:line="252" w:lineRule="auto"/>
      </w:pPr>
      <w:r>
        <w:t>Наводжу хронологію: строк [дати], кожна додаткова угода [номер, строк], листи про продовження [доставка, результат], заперечення власника [дата, зміст]. Після спливу користування і прийняття платежів підтверджені [матеріали]. Позиція щодо статті 764 ЦК [обґрунтування з урахуванням режиму фонду]. Відсутність нової додаткової угоди не прирівнюю без перевірки до відсутності будь-якого поновлення.</w:t>
      </w:r>
    </w:p>
    <w:p>
      <w:pPr>
        <w:pStyle w:val="Heading2"/>
        <w:spacing w:after="80" w:line="252" w:lineRule="auto"/>
      </w:pPr>
      <w:r>
        <w:t>Реакція на повернення</w:t>
      </w:r>
    </w:p>
    <w:p>
      <w:pPr>
        <w:spacing w:after="80" w:line="252" w:lineRule="auto"/>
      </w:pPr>
      <w:r>
        <w:t>Вимоги власника отримано [дати]; відповіді організації [дії й документи]. Квартиру [передано / не передано], причина [підтверджена]. Повідомлення мешканцю [дата, доказ]. Прошу врахувати конкретні документи при встановленні чинності підстав користування; не пропоную стягнення чи виселення особи поза межами заявленого позову.</w:t>
      </w:r>
    </w:p>
    <w:p>
      <w:pPr>
        <w:pStyle w:val="Heading2"/>
        <w:spacing w:after="80" w:line="252" w:lineRule="auto"/>
      </w:pPr>
      <w:r>
        <w:t>Процесуальні відомості</w:t>
      </w:r>
    </w:p>
    <w:p>
      <w:pPr>
        <w:spacing w:after="80" w:line="252" w:lineRule="auto"/>
      </w:pPr>
      <w:r>
        <w:t>Пояснення подаю за статтею 181 ЦПК у строк ухвали [дата, строк]. Неподані матеріали та причини [дані / немає]. Окремої ставки збору за пояснення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Долучити пояснення третьої особи та матеріали договору.</w:t>
      </w:r>
    </w:p>
    <w:p>
      <w:pPr>
        <w:spacing w:after="80" w:line="252" w:lineRule="auto"/>
      </w:pPr>
      <w:r>
        <w:t>2. Врахувати хронологію продовжень і повідомлень при вирішенні чинних вимог.</w:t>
      </w:r>
    </w:p>
    <w:p>
      <w:pPr>
        <w:pStyle w:val="Heading2"/>
        <w:spacing w:after="80" w:line="252" w:lineRule="auto"/>
      </w:pPr>
      <w:r>
        <w:t>Додатки</w:t>
      </w:r>
    </w:p>
    <w:p>
      <w:pPr>
        <w:spacing w:after="80" w:line="252" w:lineRule="auto"/>
      </w:pPr>
      <w:r>
        <w:t>1. Ухвала про залучення, договір та додаткові угоди.</w:t>
      </w:r>
    </w:p>
    <w:p>
      <w:pPr>
        <w:spacing w:after="80" w:line="252" w:lineRule="auto"/>
      </w:pPr>
      <w:r>
        <w:t>2. Повноваження підписантів і матеріали заселення.</w:t>
      </w:r>
    </w:p>
    <w:p>
      <w:pPr>
        <w:spacing w:after="80" w:line="252" w:lineRule="auto"/>
      </w:pPr>
      <w:r>
        <w:t>3. Листи, доставка, платежі й акти повернення.</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