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Позов співвласника про надання ключів від квартири та поштової скриньки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№756/12336/25, рішення від 26.03.2026 (ЄДРСР №135463534). Суд зобов’язав співвласника надати іншому співвласнику ключі від квартири та поштової скриньки. Зустрічну вимогу про недійсність дарування частки через права дітей відхилено: порушення їхніх прав на момент правочину не доведено. У самому тексті рішення зазначено 26.03.2026, повний текст складено 06.04.2026; каталог позначає його датою повного тексту. Реєстрацію дитини та фактичне користування оцінюють за конкретними доказами, без універсального правила про автоматичну недійсність чи чинність дарування.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Співвласнику, який має чинний титул і доводить відмову в ключах та доступі.</w:t>
      </w:r>
    </w:p>
    <w:p>
      <w:pPr>
        <w:pStyle w:val="Heading2"/>
        <w:spacing w:before="80" w:after="80"/>
      </w:pPr>
      <w:r>
        <w:rPr>
          <w:sz w:val="24"/>
        </w:rPr>
        <w:t>Межі</w:t>
      </w:r>
    </w:p>
    <w:p>
      <w:pPr>
        <w:spacing w:after="80" w:line="252" w:lineRule="auto"/>
      </w:pPr>
      <w:r>
        <w:rPr>
          <w:sz w:val="22"/>
        </w:rPr>
        <w:t>Вимога про ключі не вирішує автоматично поділ квартири, порядок користування чи виселення мешканців.</w:t>
      </w:r>
    </w:p>
    <w:p>
      <w:pPr>
        <w:pStyle w:val="Heading2"/>
        <w:spacing w:before="80" w:after="80"/>
      </w:pPr>
      <w:r>
        <w:rPr>
          <w:sz w:val="24"/>
        </w:rPr>
        <w:t>Перед поданням</w:t>
      </w:r>
    </w:p>
    <w:p>
      <w:pPr>
        <w:spacing w:after="80" w:line="252" w:lineRule="auto"/>
      </w:pPr>
      <w:r>
        <w:rPr>
          <w:sz w:val="22"/>
        </w:rPr>
        <w:t>Зафіксуйте конкретні замки, звернення та перешкоди. Перевірте виключну підсудність нерухомості.</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https://youcontrol.com.ua/catalog/court-document/135463534/</w:t>
      </w:r>
    </w:p>
    <w:p>
      <w:pPr>
        <w:spacing w:after="80" w:line="252" w:lineRule="auto"/>
      </w:pPr>
      <w:r>
        <w:rPr>
          <w:sz w:val="20"/>
        </w:rPr>
        <w:t>ЄДРСР: https://reyestr.court.gov.ua/Review/135463534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про охорону дитинства: https://zakon.rada.gov.ua/laws/show/2402-14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Оболонського районного суду міста Києва</w:t>
        <w:br/>
        <w:t>[Актуальна адреса суду]</w:t>
      </w:r>
    </w:p>
    <w:p>
      <w:pPr>
        <w:spacing w:after="80" w:line="252" w:lineRule="auto"/>
      </w:pPr>
      <w:r>
        <w:t>Позивач: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pStyle w:val="Title"/>
        <w:spacing w:after="80" w:line="252" w:lineRule="auto"/>
        <w:jc w:val="center"/>
      </w:pPr>
      <w:r>
        <w:t>Позов співвласника про надання ключів від квартири та поштової скриньки</w:t>
      </w:r>
    </w:p>
    <w:p>
      <w:pPr>
        <w:pStyle w:val="Heading2"/>
        <w:spacing w:after="80" w:line="252" w:lineRule="auto"/>
      </w:pPr>
      <w:r>
        <w:t>Моя власність</w:t>
      </w:r>
    </w:p>
    <w:p>
      <w:pPr>
        <w:spacing w:after="80" w:line="252" w:lineRule="auto"/>
      </w:pPr>
      <w:r>
        <w:t>Мені належить [частка] квартири [адреса, реєстраційні дані] за [договір, рішення, витяг]. Відповідачу належить [частка]. Право не припинено і не обмежено [відомості]. Порядок користування [існує / не визначений, документ]. Цей позов не просить виділити кімнату, припинити іншу частку чи виселити співвласника.</w:t>
      </w:r>
    </w:p>
    <w:p>
      <w:pPr>
        <w:pStyle w:val="Heading2"/>
        <w:spacing w:after="80" w:line="252" w:lineRule="auto"/>
      </w:pPr>
      <w:r>
        <w:t>Конкретні перешкоди</w:t>
      </w:r>
    </w:p>
    <w:p>
      <w:pPr>
        <w:spacing w:after="80" w:line="252" w:lineRule="auto"/>
      </w:pPr>
      <w:r>
        <w:t>[Дата] відповідач змінив [замок] і не надав ключів. Звернення про доступ [дати, зміст, доставка], реакція [доказ]. Через це не можу [конкретна дія користування]. Поштова скринька [ідентифікація, зв’язок із квартирою], доступ до неї блоковано [факт]. Наявність реальної перешкоди підтверджують [листування, відео, матеріали виклику, свідки], а не тільки загальний конфлікт.</w:t>
      </w:r>
    </w:p>
    <w:p>
      <w:pPr>
        <w:pStyle w:val="Heading2"/>
        <w:spacing w:after="80" w:line="252" w:lineRule="auto"/>
      </w:pPr>
      <w:r>
        <w:t>Сигналізація та співмешканці</w:t>
      </w:r>
    </w:p>
    <w:p>
      <w:pPr>
        <w:spacing w:after="80" w:line="252" w:lineRule="auto"/>
      </w:pPr>
      <w:r>
        <w:t>Система охорони [відомості], уповноважені користувачі [доказ]. Передання ключа без усунення технічного блокування [пояснення], проте додаткові вимоги формулюю лише за належними доказами й до належної особи. Права мешканців і дітей не заперечую автоматично; пропонований доступ не є їх виселенням. Безпеку й повноваження охоронної організації враховую окремо.</w:t>
      </w:r>
    </w:p>
    <w:p>
      <w:pPr>
        <w:pStyle w:val="Heading2"/>
        <w:spacing w:after="80" w:line="252" w:lineRule="auto"/>
      </w:pPr>
      <w:r>
        <w:t>Право і спосіб</w:t>
      </w:r>
    </w:p>
    <w:p>
      <w:pPr>
        <w:spacing w:after="80" w:line="252" w:lineRule="auto"/>
      </w:pPr>
      <w:r>
        <w:t>За статтями 317, 319, 321, 358 і 391 ЦК прошу усунути доведені перешкоди в користуванні спільною власністю. Передання справних ключів [кількість, замки] є конкретним виконуваним способом. Не прошу абстрактно забезпечити всі майбутні права. Підсудність нерухомості за статтею 30 ЦПК, немайновий характер вимоги й чинний збір обґрунтовано [дані].</w:t>
      </w:r>
    </w:p>
    <w:p>
      <w:pPr>
        <w:pStyle w:val="Heading2"/>
        <w:spacing w:after="80" w:line="252" w:lineRule="auto"/>
      </w:pPr>
      <w:r>
        <w:t>Процесуальні відомості</w:t>
      </w:r>
    </w:p>
    <w:p>
      <w:pPr>
        <w:spacing w:after="80" w:line="252" w:lineRule="auto"/>
      </w:pPr>
      <w:r>
        <w:t>Підсудність: [конкретна підстава статей 27–28 ЦПК і доказ]. Позов немайновий; ціна грошових вимог не визначається. Судовий збір: [пільга з доказами / чинна ставка, обчислення і квитанція]. Попередні судові витрати: [збір, експертиза, правнича допомога, інші витрати та суми]. Досудове врегулювання: [дата і результат / не проводилось]; забезпечення до позову: [ухвала / не проводилось]. Наявні докази додаю; неподані докази та причини: [перелік / немає]. Іншого позову до цих відповідачів з тим самим предметом і підставами не подано.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Зобов’язати [відповідач] надати мені справні ключі від [визначені вхідні двері квартири].</w:t>
      </w:r>
    </w:p>
    <w:p>
      <w:pPr>
        <w:spacing w:after="80" w:line="252" w:lineRule="auto"/>
      </w:pPr>
      <w:r>
        <w:t>2. Зобов’язати надати ключ від поштової скриньки [ідентифікація] за наявності доведеної перешкоди.</w:t>
      </w:r>
    </w:p>
    <w:p>
      <w:pPr>
        <w:spacing w:after="80" w:line="252" w:lineRule="auto"/>
      </w:pPr>
      <w:r>
        <w:t>3. Розподілити підтверджені судові витрати.</w:t>
      </w:r>
    </w:p>
    <w:p>
      <w:pPr>
        <w:pStyle w:val="Heading2"/>
        <w:spacing w:after="80" w:line="252" w:lineRule="auto"/>
      </w:pPr>
      <w:r>
        <w:t>Додатки</w:t>
      </w:r>
    </w:p>
    <w:p>
      <w:pPr>
        <w:spacing w:after="80" w:line="252" w:lineRule="auto"/>
      </w:pPr>
      <w:r>
        <w:t>1. Титул частки, витяг і наявний порядок користування.</w:t>
      </w:r>
    </w:p>
    <w:p>
      <w:pPr>
        <w:spacing w:after="80" w:line="252" w:lineRule="auto"/>
      </w:pPr>
      <w:r>
        <w:t>2. Звернення про ключі, доставка та відмови.</w:t>
      </w:r>
    </w:p>
    <w:p>
      <w:pPr>
        <w:spacing w:after="80" w:line="252" w:lineRule="auto"/>
      </w:pPr>
      <w:r>
        <w:t>3. Докази зміни замків і фактичного блокування.</w:t>
      </w:r>
    </w:p>
    <w:p>
      <w:pPr>
        <w:spacing w:after="80" w:line="252" w:lineRule="auto"/>
      </w:pPr>
      <w:r>
        <w:t>4. Квитанція збору та попередні витрати.</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