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ОСББ про щомісячні та цільові внески власника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ОСББ із належними рішеннями зборів та обліком внесків конкретного власника. Не замінює позов стороннього постачальника комунальної послуги.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№761/30752/25, заочне рішення Шевченківського районного суду міста Києва від 20.05.2026, ЄДРСР №137227791. ОСББ стягувало внески й житлово-комунальні платежі за грудень 2019 — березень 2025. Суд присудив 409 043,85 грн основного боргу, 29 983,35 грн інфляції та 7 591,70 грн річних, окремо збір і правничі витрати. Відзиву власник не подав. Відсутність індивідуального договору не визнана звільненням від належно встановлених платежів. Давність не заявлялася; форма відповідної заяви є окремою адаптацією, а не встановленим результатом цього спору. Перегляд і набрання законної сили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ОСББ із належними рішеннями зборів та обліком внесків конкретного власника. Не замінює позов стороннього постачальника комунальної послуги.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Збір за майновим позовом юридичної особи визначайте на дату подання, з установленими межами та коефіцієнтом за належної електронної подачі.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Перевірте цивільну юрисдикцію вимоги про борг власника та статтю 30 ЦПК для спору, пов’язаного з нерухомим майном. Окреме оскарження рішення зборів ОСББ може належати господарській юрисдикції; не додавайте таку вимогу до цивільного відзиву без перевірки. Відокремлюйте внески ОСББ від комунальних послуг і їх спеціальних правил.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https://youcontrol.com.ua/catalog/court-document/137227791/</w:t>
      </w:r>
    </w:p>
    <w:p>
      <w:pPr>
        <w:spacing w:after="80" w:line="252" w:lineRule="auto"/>
      </w:pPr>
      <w:r>
        <w:rPr>
          <w:sz w:val="20"/>
        </w:rPr>
        <w:t>ЄДРСР: https://reyestr.court.gov.ua/Review/137227791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Закон про ОСББ: https://zakon.rada.gov.ua/laws/show/2866-14</w:t>
      </w:r>
    </w:p>
    <w:p>
      <w:pPr>
        <w:spacing w:after="80" w:line="252" w:lineRule="auto"/>
      </w:pPr>
      <w:r>
        <w:rPr>
          <w:sz w:val="20"/>
        </w:rPr>
        <w:t>Житлово комунальні послуги: https://zakon.rada.gov.ua/laws/show/2189-19</w:t>
      </w:r>
    </w:p>
    <w:p>
      <w:pPr>
        <w:spacing w:after="80" w:line="252" w:lineRule="auto"/>
      </w:pPr>
      <w:r>
        <w:rPr>
          <w:sz w:val="20"/>
        </w:rPr>
        <w:t>Поновлення перебігу позовної давності: https://zakon.rada.gov.ua/laws/show/4434-20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Шевченківського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Ціна позову: [сума за детальним розрахунком]</w:t>
        <w:br/>
        <w:t>Рахунок для отримання коштів: [IBAN, надавач платіжних послуг, власник]</w:t>
        <w:br/>
        <w:t>Документ про наявність рахунку: [назва, дата]</w:t>
        <w:br/>
        <w:t>За відсутності рахунку у фізичної особи: [зазначити відсутність і бажаний спосіб отримання коштів]</w:t>
      </w:r>
    </w:p>
    <w:p>
      <w:pPr>
        <w:pStyle w:val="Title"/>
        <w:jc w:val="center"/>
      </w:pPr>
      <w:r>
        <w:t>Позов ОСББ про щомісячні та цільові внески власника</w:t>
      </w:r>
    </w:p>
    <w:p>
      <w:pPr>
        <w:pStyle w:val="Heading2"/>
      </w:pPr>
      <w:r>
        <w:t>Власник і рішення зборів</w:t>
      </w:r>
    </w:p>
    <w:p>
      <w:pPr/>
      <w:r>
        <w:t>Відповідач є власником приміщення [адреса, площа, частка] з [дата], що підтверджується [витяг, документ]. ОСББ створене [дані], управляє спільним майном цього будинку. Рішеннями загальних зборів [дати, номери, конкретні пункти] установлено внески [утримання, освітлення МЗК, цільовий платіж], ставки та строки. Додаю відповідні протоколи й застосовний кошторис. Кожний цільовий платіж має власну визначену зборами підставу, суму і момент виконання. Періоди до набуття права власності не включаю без самостійного доведеного обов’язку відповідача.</w:t>
      </w:r>
    </w:p>
    <w:p>
      <w:pPr>
        <w:pStyle w:val="Heading2"/>
      </w:pPr>
      <w:r>
        <w:t>Облік за категоріями</w:t>
      </w:r>
    </w:p>
    <w:p>
      <w:pPr/>
      <w:r>
        <w:t>Таблиця за [період] містить місяць, площу або іншу правомірну базу, чинну ставку, суму кожного виду внеску, строк оплати, платежі й залишок. Зміни ставок застосовано з визначених дат. Оплату [реквізити] зараховано за її призначенням і належними правилами, без дублювання. Комунальні послуги, за які позивач має окрему законну підставу отримати плату, виділено [опис]. Інфляційні втрати і річні розраховані окремо від основного боргу та лише за доведеним простроченням; застосовні спеціальні обмеження перевірені для конкретної категорії платежу.</w:t>
      </w:r>
    </w:p>
    <w:p>
      <w:pPr>
        <w:pStyle w:val="Heading2"/>
      </w:pPr>
      <w:r>
        <w:t>Підстава вимоги</w:t>
      </w:r>
    </w:p>
    <w:p>
      <w:pPr/>
      <w:r>
        <w:t>Статті 319, 322, 526 і 530 ЦК та статті 10, 15, 17, 20 і 23 Закону про ОСББ обґрунтовують участь власника у належно встановлених витратах на спільне майно. Відсутність індивідуального договору не скасовує такого обов’язку сама собою, але не звільняє позивача від доведення ставки й розрахунку. Основний залишок [сума] грн; за частиною другою статті 625 ЦК інфляція [сума], 3 проценти річних [сума], деталізація додається. Ціна позову [сума] грн. Нарахування за чужим судовим рішенням не використовую замість власних первинних матеріалів.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Звернення оформлено за статтями 175–177 ЦПК України. Іншого позову до цього самого відповідача з тим самим предметом і підставами не подано. Досудове врегулювання [дії, документи, результат / не проводилось]; забезпечення позову чи доказів [відомості / не застосовувалось]. Судовий збір [сума, платіжний документ / норма пільги та її доказ].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Стягнути [сума] грн щомісячних і цільових внесків за [період] за визначеними рішеннями зборів.</w:t>
      </w:r>
    </w:p>
    <w:p>
      <w:pPr/>
      <w:r>
        <w:t>2. Стягнути доведені й допустимі для відповідної категорії [сума] грн інфляційних втрат і [сума] грн річних [вилучити, якщо не заявляються].</w:t>
      </w:r>
    </w:p>
    <w:p>
      <w:pPr/>
      <w:r>
        <w:t>3. Розподілити документально підтверджені судові витрати.</w:t>
      </w:r>
    </w:p>
    <w:p>
      <w:pPr>
        <w:pStyle w:val="Heading2"/>
      </w:pPr>
      <w:r>
        <w:t>Додатки</w:t>
      </w:r>
    </w:p>
    <w:p>
      <w:pPr/>
      <w:r>
        <w:t>1. Статут, повноваження ОСББ та дані про право власності.</w:t>
      </w:r>
    </w:p>
    <w:p>
      <w:pPr/>
      <w:r>
        <w:t>2. Протоколи зборів, кошториси й установлені строки внесків.</w:t>
      </w:r>
    </w:p>
    <w:p>
      <w:pPr/>
      <w:r>
        <w:t>3. Помесячна таблиця різних видів платежу і всіх оплат.</w:t>
      </w:r>
    </w:p>
    <w:p>
      <w:pPr/>
      <w:r>
        <w:t>4. Первинні платіжні матеріали, розрахунки інфляції та річних.</w:t>
      </w:r>
    </w:p>
    <w:p>
      <w:pPr/>
      <w:r>
        <w:t>5. Документ про судовий збір.</w:t>
      </w:r>
    </w:p>
    <w:p>
      <w:pPr/>
      <w:r>
        <w:t>6. Підтвердження повноважень представника за наявності.</w:t>
      </w:r>
    </w:p>
    <w:p>
      <w:pPr>
        <w:keepNext/>
      </w:pPr>
      <w:r>
        <w:t>7.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