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пошкодження автомобіля гілкою дерева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№752/29964/25, рішення від 25.06.2026 (ЄДРСР №137699047). Власнику автомобіля відмовлено у компенсації пошкодження гілкою дерева: матеріали не дозволили надійно встановити місце і час події, стан дерева та причинний зв’язок із порушенням обов’язків відповідача. Сам оцінений ремонт не доводить відповідального за подію. За частиною другою статті 1166 ЦК відсутність власної вини доводить заподіювач; водночас позивач доводить шкоду, протиправність і причинний зв’язок. Це потрібно відрізняти від загальних висловів про тягар доказування у конкретному акті.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Власнику авто, пошкодженого деревом чи гілкою, за встановленого місця, конкретного утримувача та доказів порушення й причинного зв’язку.</w:t>
      </w:r>
    </w:p>
    <w:p>
      <w:pPr>
        <w:pStyle w:val="Heading2"/>
        <w:spacing w:before="80" w:after="80"/>
      </w:pPr>
      <w:r>
        <w:rPr>
          <w:sz w:val="24"/>
        </w:rPr>
        <w:t>Перед поданням</w:t>
      </w:r>
    </w:p>
    <w:p>
      <w:pPr>
        <w:spacing w:after="80" w:line="252" w:lineRule="auto"/>
      </w:pPr>
      <w:r>
        <w:rPr>
          <w:sz w:val="22"/>
        </w:rPr>
        <w:t>Матеріали місця, часу, дерева й автомобіля мають стосуватися однієї події. Перевірте підсудність, давність та майновий збір; загальної пільги лише через цю шкоду немає.</w:t>
      </w:r>
    </w:p>
    <w:p>
      <w:pPr>
        <w:pStyle w:val="Heading2"/>
        <w:spacing w:before="80" w:after="80"/>
      </w:pPr>
      <w:r>
        <w:rPr>
          <w:sz w:val="24"/>
        </w:rPr>
        <w:t>Оцінка і страхування</w:t>
      </w:r>
    </w:p>
    <w:p>
      <w:pPr>
        <w:spacing w:after="80" w:line="252" w:lineRule="auto"/>
      </w:pPr>
      <w:r>
        <w:rPr>
          <w:sz w:val="22"/>
        </w:rPr>
        <w:t>Розмежуйте кошторис ремонту та матеріальну шкоду, перевірте покриття й чинність страхового договору. Відніміть одержане відшкодування, не заявляйте автоцивілку без відповідної ДТП.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https://youcontrol.com.ua/catalog/court-document/137699047/</w:t>
      </w:r>
    </w:p>
    <w:p>
      <w:pPr>
        <w:spacing w:after="80" w:line="252" w:lineRule="auto"/>
      </w:pPr>
      <w:r>
        <w:rPr>
          <w:sz w:val="20"/>
        </w:rPr>
        <w:t>ЄДРСР: https://reyestr.court.gov.ua/Review/137699047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Правила утримання зелених насаджень: https://zakon.rada.gov.ua/laws/show/z0880-06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Голосіївського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spacing w:after="80" w:line="252" w:lineRule="auto"/>
        <w:jc w:val="center"/>
      </w:pPr>
      <w:r>
        <w:t>Позов про пошкодження автомобіля гілкою дерева</w:t>
      </w:r>
    </w:p>
    <w:p>
      <w:pPr>
        <w:pStyle w:val="Heading2"/>
        <w:spacing w:after="80" w:line="252" w:lineRule="auto"/>
      </w:pPr>
      <w:r>
        <w:t>Автомобіль і подія</w:t>
      </w:r>
    </w:p>
    <w:p>
      <w:pPr>
        <w:spacing w:after="80" w:line="252" w:lineRule="auto"/>
      </w:pPr>
      <w:r>
        <w:t>Автомобіль [марка, VIN, номер] належить мені за [титул]. [Дата, час] гілка дерева впала на нього у [точне місце]. Дерево, автомобіль, місце стоянки і траєкторія позначені на схемі [додаток]. Подію підтверджують [прив’язані фото, відео, поліція, свідки]. Особисто спостережені факти [перелік]; установлені іншими матеріалами [перелік]. Сухостійність або небезпечний стан підтверджує [обстеження], а не лише моя побутова оцінка.</w:t>
      </w:r>
    </w:p>
    <w:p>
      <w:pPr>
        <w:pStyle w:val="Heading2"/>
        <w:spacing w:after="80" w:line="252" w:lineRule="auto"/>
      </w:pPr>
      <w:r>
        <w:t>Утримувач і порушення</w:t>
      </w:r>
    </w:p>
    <w:p>
      <w:pPr>
        <w:spacing w:after="80" w:line="252" w:lineRule="auto"/>
      </w:pPr>
      <w:r>
        <w:t>На дату події за [план меж, акт передачі, договір] відповідач [назва] утримував саме це дерево або ділянку. Його конкретний обов’язок [норма, пункт] порушено [дія або бездіяльність, доказ]. До падіння ознаки небезпеки [підтверджені дані] та звернення [дата, результат]. Погода [офіційні дані] оцінюється разом зі станом дерева. Не відношу будь-яке дерево в районі до відповідальності одного підприємства без підтвердження меж.</w:t>
      </w:r>
    </w:p>
    <w:p>
      <w:pPr>
        <w:pStyle w:val="Heading2"/>
        <w:spacing w:after="80" w:line="252" w:lineRule="auto"/>
      </w:pPr>
      <w:r>
        <w:t>Причинний зв’язок і сума</w:t>
      </w:r>
    </w:p>
    <w:p>
      <w:pPr>
        <w:spacing w:after="80" w:line="252" w:lineRule="auto"/>
      </w:pPr>
      <w:r>
        <w:t>Пошкодження [деталі] пов’язані з падінням за [матеріали, висновок], а не попереднім інцидентом. Оцінка [дата, автор] визначає ремонт [сума] і майнову шкоду [сума]. Обраний розмір [сума] пояснюю методикою, зносом та фактичним ремонтом [дані]. Уже одержане відшкодування [сума / не отримано] враховано. Витрати на оцінку [сума, оплата, правова природа] відділено. Не заявляю двічі шкоду, яку вже компенсовано страховиком або іншою особою.</w:t>
      </w:r>
    </w:p>
    <w:p>
      <w:pPr>
        <w:pStyle w:val="Heading2"/>
        <w:spacing w:after="80" w:line="252" w:lineRule="auto"/>
      </w:pPr>
      <w:r>
        <w:t>Правова підстава</w:t>
      </w:r>
    </w:p>
    <w:p>
      <w:pPr>
        <w:spacing w:after="80" w:line="252" w:lineRule="auto"/>
      </w:pPr>
      <w:r>
        <w:t>За статтями 22 і 1166 ЦК доводжу шкоду, протиправність та причинний зв’язок; заподіювач доводить відсутність своєї вини. Сам факт падіння гілки і кошторис ремонту не замінюють усіх елементів відповідальності. Договір страхування підприємства [відомості] не означає автоматичної прямої вимоги до страховика: потрібні чинність, покриття і право потерпілого. Тут вимогу заявляю до [особа] за [підстава]. Це не ДТП і не автоматична вимога за автоцивілкою.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Ціна майнових вимог [сума, розрахунок].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Стягнути з [відповідач] [сума] грн майнової шкоди автомобілю від падіння гілки [дата, місце].</w:t>
      </w:r>
    </w:p>
    <w:p>
      <w:pPr>
        <w:spacing w:after="80" w:line="252" w:lineRule="auto"/>
      </w:pPr>
      <w:r>
        <w:t>2. Вирішити вимогу про витрати оцінки [сума, правова природа] без подвійного відшкодування.</w:t>
      </w:r>
    </w:p>
    <w:p>
      <w:pPr>
        <w:spacing w:after="80" w:line="252" w:lineRule="auto"/>
      </w:pPr>
      <w:r>
        <w:t>3. Розподілити підтверджені витрати за статтею 141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Титул авто, схема, прив’язані фото й відео.</w:t>
      </w:r>
    </w:p>
    <w:p>
      <w:pPr>
        <w:spacing w:after="80" w:line="252" w:lineRule="auto"/>
      </w:pPr>
      <w:r>
        <w:t>2. Матеріали виклику поліції, докази часу та місця.</w:t>
      </w:r>
    </w:p>
    <w:p>
      <w:pPr>
        <w:spacing w:after="80" w:line="252" w:lineRule="auto"/>
      </w:pPr>
      <w:r>
        <w:t>3. Межі утримання й документи конкретного порушення.</w:t>
      </w:r>
    </w:p>
    <w:p>
      <w:pPr>
        <w:spacing w:after="80" w:line="252" w:lineRule="auto"/>
      </w:pPr>
      <w:r>
        <w:t>4. Погода, стан дерева, матеріали причинного зв’язку.</w:t>
      </w:r>
    </w:p>
    <w:p>
      <w:pPr>
        <w:spacing w:after="80" w:line="252" w:lineRule="auto"/>
      </w:pPr>
      <w:r>
        <w:t>5. Оцінка, власний розрахунок, платежі й компенсації.</w:t>
      </w:r>
    </w:p>
    <w:p>
      <w:pPr>
        <w:spacing w:after="80" w:line="252" w:lineRule="auto"/>
      </w:pPr>
      <w:r>
        <w:t>6. Збір або підтверджена законна пільга.</w:t>
      </w:r>
    </w:p>
    <w:p>
      <w:pPr>
        <w:spacing w:after="80" w:line="252" w:lineRule="auto"/>
      </w:pPr>
      <w:r>
        <w:t>7.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8.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