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Позов лікаря про скасування двох доган щодо ЕСОЗ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09.10.2026.</w:t>
      </w:r>
    </w:p>
    <w:p>
      <w:pPr>
        <w:spacing w:after="80" w:line="252" w:lineRule="auto"/>
      </w:pPr>
      <w:r>
        <w:rPr>
          <w:sz w:val="22"/>
        </w:rPr>
        <w:t>Лікарю, який оскаржує дві конкретні догани та може відокремити фактичні підстави кожної. Форма не замінює позов про поновлення після звільнення.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Справа №759/9121/23, рішення Святошинського районного суду міста Києва від 17.02.2026, ЄДРСР №134118140. Лікар оскаржила дві догани щодо оформлення декларацій в ЕСОЗ і використання часу прийому. Суд відмовив: установив посадові обов’язки та дотримання процедури, а технічну неможливість підписання декларацій вважав недоведеною. Призначена комп’ютерно-технічна експертиза не дала відповіді на частину питань поза компетенцією експерта. Форми допомагають конкретизувати докази, не стверджують незаконність доган у справі-джерелі. Подальший перегляд не перевірений.</w:t>
      </w:r>
    </w:p>
    <w:p>
      <w:pPr>
        <w:pStyle w:val="Heading2"/>
        <w:spacing w:before="80" w:after="80"/>
      </w:pPr>
      <w:r>
        <w:rPr>
          <w:sz w:val="24"/>
        </w:rPr>
        <w:t>Кому підходить</w:t>
      </w:r>
    </w:p>
    <w:p>
      <w:pPr>
        <w:spacing w:after="80" w:line="252" w:lineRule="auto"/>
      </w:pPr>
      <w:r>
        <w:rPr>
          <w:sz w:val="22"/>
        </w:rPr>
        <w:t>Лікарю, який оскаржує дві конкретні догани та може відокремити фактичні підстави кожної. Форма не замінює позов про поновлення після звільнення.</w:t>
      </w:r>
    </w:p>
    <w:p>
      <w:pPr>
        <w:pStyle w:val="Heading2"/>
        <w:spacing w:before="80" w:after="80"/>
      </w:pPr>
      <w:r>
        <w:rPr>
          <w:sz w:val="24"/>
        </w:rPr>
        <w:t>Строк і судовий збір</w:t>
      </w:r>
    </w:p>
    <w:p>
      <w:pPr>
        <w:spacing w:after="80" w:line="252" w:lineRule="auto"/>
      </w:pPr>
      <w:r>
        <w:rPr>
          <w:sz w:val="22"/>
        </w:rPr>
        <w:t>Загальний строк щодо такого трудового порушення перевірте за статтею 233 КЗпП; для поновлення застосовна стаття 234. Збір і кількість немайнових вимог визначаються окремо.</w:t>
      </w:r>
    </w:p>
    <w:p>
      <w:pPr>
        <w:pStyle w:val="Heading2"/>
        <w:spacing w:before="80" w:after="80"/>
      </w:pPr>
      <w:r>
        <w:rPr>
          <w:sz w:val="24"/>
        </w:rPr>
        <w:t>Підсудність та підготовка</w:t>
      </w:r>
    </w:p>
    <w:p>
      <w:pPr>
        <w:spacing w:after="80" w:line="252" w:lineRule="auto"/>
      </w:pPr>
      <w:r>
        <w:rPr>
          <w:sz w:val="22"/>
        </w:rPr>
        <w:t>Трудовий позов перевірте за статтями 27–28 ЦПК, зокрема за зареєстрованим місцем проживання працівника. Чинність посадових і галузевих правил оцінюйте на дату проступку. Медичні записи й декларації мають різні правила; загальне посилання на воєнний стан не доводить конкретний збій ЕСОЗ.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Повний текст рішення: https://youcontrol.com.ua/catalog/court-document/134118140/</w:t>
      </w:r>
    </w:p>
    <w:p>
      <w:pPr>
        <w:spacing w:after="80" w:line="252" w:lineRule="auto"/>
      </w:pPr>
      <w:r>
        <w:rPr>
          <w:sz w:val="20"/>
        </w:rPr>
        <w:t>ЄДРСР: https://reyestr.court.gov.ua/Review/134118140</w:t>
      </w:r>
    </w:p>
    <w:p>
      <w:pPr>
        <w:spacing w:after="80" w:line="252" w:lineRule="auto"/>
      </w:pPr>
      <w:r>
        <w:rPr>
          <w:sz w:val="20"/>
        </w:rPr>
        <w:t>ЦПК України: https://zakon.rada.gov.ua/laws/show/1618-15</w:t>
      </w:r>
    </w:p>
    <w:p>
      <w:pPr>
        <w:spacing w:after="80" w:line="252" w:lineRule="auto"/>
      </w:pPr>
      <w:r>
        <w:rPr>
          <w:sz w:val="20"/>
        </w:rPr>
        <w:t>ЦК України: https://zakon.rada.gov.ua/laws/show/435-15</w:t>
      </w:r>
    </w:p>
    <w:p>
      <w:pPr>
        <w:spacing w:after="80" w:line="252" w:lineRule="auto"/>
      </w:pPr>
      <w:r>
        <w:rPr>
          <w:sz w:val="20"/>
        </w:rPr>
        <w:t>Закон про судовий збір: https://zakon.rada.gov.ua/laws/show/3674-17</w:t>
      </w:r>
    </w:p>
    <w:p>
      <w:pPr>
        <w:spacing w:after="80" w:line="252" w:lineRule="auto"/>
      </w:pPr>
      <w:r>
        <w:rPr>
          <w:sz w:val="20"/>
        </w:rPr>
        <w:t>КЗпП України: https://zakon.rada.gov.ua/laws/show/322-08</w:t>
      </w:r>
    </w:p>
    <w:p>
      <w:pPr>
        <w:spacing w:after="80" w:line="252" w:lineRule="auto"/>
      </w:pPr>
      <w:r>
        <w:rPr>
          <w:sz w:val="20"/>
        </w:rPr>
        <w:t>Вибір лікаря та декларації: https://zakon.rada.gov.ua/laws/show/z0347-18</w:t>
      </w:r>
    </w:p>
    <w:p>
      <w:pPr>
        <w:spacing w:after="80" w:line="252" w:lineRule="auto"/>
      </w:pPr>
      <w:r>
        <w:rPr>
          <w:sz w:val="20"/>
        </w:rPr>
        <w:t>Ведення медичних записів: https://zakon.rada.gov.ua/laws/show/z0236-20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</w:pPr>
      <w:r>
        <w:t>До Святошинського районного суду міста Києва</w:t>
        <w:br/>
        <w:t>[Актуальна адреса суду]</w:t>
      </w:r>
    </w:p>
    <w:p>
      <w:pPr/>
      <w:r>
        <w:t>Позивач: [ПІБ / повне найменування]</w:t>
        <w:br/>
        <w:t>Адреса та індекс: [дані]</w:t>
        <w:br/>
        <w:t>РНОКПП / ЄДРПОУ або паспортні дані у передбачених законом випадках: [дані]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/>
      <w:r>
        <w:t>Представник за наявності: [ПІБ, адреса, індекс, контакти, повноваження]</w:t>
        <w:br/>
        <w:t>Електронний кабінет представника: [наявний / відсутній]</w:t>
      </w:r>
    </w:p>
    <w:p>
      <w:pPr/>
      <w:r>
        <w:t>Інші учасники справи: [ПІБ / повне найменування та процесуальний статус кожного]</w:t>
        <w:br/>
        <w:t>Адреса та індекс: [дані]</w:t>
        <w:br/>
        <w:t>Відомі ідентифікаційні дані, контакти та електронний кабінет: [дані / невідомо]</w:t>
        <w:br/>
        <w:t>[Повторити блок для кожного учасника]</w:t>
      </w:r>
    </w:p>
    <w:p>
      <w:pPr>
        <w:pStyle w:val="Title"/>
        <w:jc w:val="center"/>
      </w:pPr>
      <w:r>
        <w:t>Позов лікаря про скасування двох доган щодо ЕСОЗ</w:t>
      </w:r>
    </w:p>
    <w:p>
      <w:pPr>
        <w:pStyle w:val="Heading2"/>
      </w:pPr>
      <w:r>
        <w:t>Окремі накази та обов’язки</w:t>
      </w:r>
    </w:p>
    <w:p>
      <w:pPr/>
      <w:r>
        <w:t>Працюю у [заклад] на посаді [посада] за наказом [реквізити]. Оскаржую накази №[перший] від [дата] та №[другий] від [дата], з якими ознайомлений(а) [доказ, дата]. Перший стосується [конкретні декларації, період, пункт інструкції], другий — [зустрічі, записи, дати]. Для кожного наказу зазначаю самостійну підставу незаконності й докази. Якщо йдеться про один і той самий проступок, збіг дій, часу та обов’язку обґрунтовую [опис]; самі близькі дати наказів не доводять подвійного стягнення.</w:t>
      </w:r>
    </w:p>
    <w:p>
      <w:pPr>
        <w:pStyle w:val="Heading2"/>
      </w:pPr>
      <w:r>
        <w:t>Факти виконання та процедура</w:t>
      </w:r>
    </w:p>
    <w:p>
      <w:pPr/>
      <w:r>
        <w:t>Виконання обов’язку підтверджується [журнал подій, статус декларації, звіт, листування]. Технічна перешкода [конкретний час, код помилки, обладнання] підтверджена [служба підтримки, журнал, акт], а мої дії для усунення [опис]. Паперовий медичний запис не прирівнюю автоматично до завершеної електронної декларації. Роботодавець витребував пояснення [дата]; я надав(ла) [документ / не отримував(ла) вимогу з доказів]. Дата виявлення кожного проступку [документ], періоди хвороби чи відпустки [дати]. Необґрунтований висновок про вину та тяжкість [конкретна вада].</w:t>
      </w:r>
    </w:p>
    <w:p>
      <w:pPr>
        <w:pStyle w:val="Heading2"/>
      </w:pPr>
      <w:r>
        <w:t>Правові підстави і строк</w:t>
      </w:r>
    </w:p>
    <w:p>
      <w:pPr/>
      <w:r>
        <w:t>За статтями 147–149 КЗпП потрібні винний проступок, дотримання строків, процедура пояснень та врахування обставин. Порушений обов’язок має існувати на момент дії; довід лише про дату пізнішого організаційного наказу не спростовує раніше чинної посадової інструкції. Звернення відбувається в межах строку статті 233 КЗпП: [дата знання, обчислення]. За пропуску окремо прошу його поновити за статтею 234, зазначаючи поважну причину й підтвердження. Звільнення від збору для заробітної плати та поновлення не поширюю без перевірки на окремий позов про догани; збір за ці вимоги [підстава, сума].</w:t>
      </w:r>
    </w:p>
    <w:p>
      <w:pPr>
        <w:pStyle w:val="Heading2"/>
      </w:pPr>
      <w:r>
        <w:t>Процесуальні відомості та витрати</w:t>
      </w:r>
    </w:p>
    <w:p>
      <w:pPr/>
      <w:r>
        <w:t xml:space="preserve">Звернення оформлено за статтями 175–177 ЦПК України. Іншого позову до цього самого відповідача з тим самим предметом і підставами не подано. Досудове врегулювання [дії, документи, результат / не проводилось]; забезпечення позову чи доказів [відомості / не застосовувалось]. Судовий збір [сума, платіжний документ / норма пільги та її доказ]. Попередній розрахунок власних судових витрат: [збір, правнича допомога, інші витрати, суми]. Оригінали письмових доказів перебувають у [особа, місце]; відповідність доданих копій оригіналам засвідчую. Копії документа і додатків направлено іншим учасникам [дата, спосіб, доказ] за статтею 43 ЦПК. Адвокат і юридична особа зазначають електронні кабінети за статтею 14 ЦПК; для фізичної особи, зокрема ФОП, відомості [наявний / відсутній / невідомо]. </w:t>
      </w:r>
    </w:p>
    <w:p>
      <w:pPr>
        <w:pStyle w:val="Heading2"/>
      </w:pPr>
      <w:r>
        <w:t>Прошу суд</w:t>
      </w:r>
    </w:p>
    <w:p>
      <w:pPr/>
      <w:r>
        <w:t>1. Визнати незаконним і скасувати наказ [реквізити] про догану щодо [перший проступок].</w:t>
      </w:r>
    </w:p>
    <w:p>
      <w:pPr/>
      <w:r>
        <w:t>2. Визнати незаконним і скасувати наказ [реквізити] про догану щодо [другий проступок].</w:t>
      </w:r>
    </w:p>
    <w:p>
      <w:pPr/>
      <w:r>
        <w:t>3. За наявності пропуску поновити строк із викладених підтверджених причин [вилучити, якщо не потрібно]; розподілити судові витрати.</w:t>
      </w:r>
    </w:p>
    <w:p>
      <w:pPr>
        <w:pStyle w:val="Heading2"/>
      </w:pPr>
      <w:r>
        <w:t>Додатки</w:t>
      </w:r>
    </w:p>
    <w:p>
      <w:pPr/>
      <w:r>
        <w:t>1. Трудові документи, чинна інструкція й підтвердження ознайомлення.</w:t>
      </w:r>
    </w:p>
    <w:p>
      <w:pPr/>
      <w:r>
        <w:t>2. Обидва накази, пояснення та вимоги роботодавця.</w:t>
      </w:r>
    </w:p>
    <w:p>
      <w:pPr/>
      <w:r>
        <w:t>3. Технічні документи і звіти виконання по кожному проступку.</w:t>
      </w:r>
    </w:p>
    <w:p>
      <w:pPr/>
      <w:r>
        <w:t>4. Доказ дати отримання наказів; докази причини пропуску за потреби.</w:t>
      </w:r>
    </w:p>
    <w:p>
      <w:pPr/>
      <w:r>
        <w:t>5. Квитанція збору або конкретна законна пільга.</w:t>
      </w:r>
    </w:p>
    <w:p>
      <w:pPr/>
      <w:r>
        <w:t>6. Підтвердження повноважень представника за наявності.</w:t>
      </w:r>
    </w:p>
    <w:p>
      <w:pPr>
        <w:keepNext/>
      </w:pPr>
      <w:r>
        <w:t>7. Доказ направлення документа з додатками учасникам.</w:t>
      </w:r>
    </w:p>
    <w:p>
      <w:pPr>
        <w:keepLines/>
      </w:pPr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