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Позов спадкоємця про право на частку квартири у спільній сумісній власності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№759/4012/26, рішення від 08.04.2026 (ЄДРСР №135576614). Нотаріус відмовив у свідоцтві через невизначені частки померлих співвласників у договорі міни квартири. Суд визнав за спадкоємцем право власності на половину квартири в порядку спадкування за заповітом. Захист стосувався права живого спадкоємця, а не окремого визначення права за померлим. Мотивувальна частина згадує також спадкування за законом; результат описано за резолютивною частиною про заповіт. Половина в цьому акті не є універсальною часткою для інших спадкових справ.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Спадкоємцю, який прийняв спадщину, але не може отримати свідоцтво через невизначені частки у спільній сумісній власності на квартиру.</w:t>
      </w:r>
    </w:p>
    <w:p>
      <w:pPr>
        <w:pStyle w:val="Heading2"/>
        <w:spacing w:before="80" w:after="80"/>
      </w:pPr>
      <w:r>
        <w:rPr>
          <w:sz w:val="24"/>
        </w:rPr>
        <w:t>Спосіб і сторони</w:t>
      </w:r>
    </w:p>
    <w:p>
      <w:pPr>
        <w:spacing w:after="80" w:line="252" w:lineRule="auto"/>
      </w:pPr>
      <w:r>
        <w:rPr>
          <w:sz w:val="22"/>
        </w:rPr>
        <w:t>Позов захищає право спадкоємця. Перевірте інших спадкоємців та належного відповідача. Міська рада є відповідачем лише за відповідних умов, а не в усіх спадкових спорах.</w:t>
      </w:r>
    </w:p>
    <w:p>
      <w:pPr>
        <w:pStyle w:val="Heading2"/>
        <w:spacing w:before="80" w:after="80"/>
      </w:pPr>
      <w:r>
        <w:rPr>
          <w:sz w:val="24"/>
        </w:rPr>
        <w:t>Перед поданням</w:t>
      </w:r>
    </w:p>
    <w:p>
      <w:pPr>
        <w:spacing w:after="80" w:line="252" w:lineRule="auto"/>
      </w:pPr>
      <w:r>
        <w:rPr>
          <w:sz w:val="22"/>
        </w:rPr>
        <w:t>Обґрунтуйте ціну спірної частки, збір і виключну підсудність. Неприйнята спадщина або відсутня нотаріальна перешкода потребують окремого вирішення і не усуваються цією формою.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https://youcontrol.com.ua/catalog/court-document/135576614/</w:t>
      </w:r>
    </w:p>
    <w:p>
      <w:pPr>
        <w:spacing w:after="80" w:line="252" w:lineRule="auto"/>
      </w:pPr>
      <w:r>
        <w:rPr>
          <w:sz w:val="20"/>
        </w:rPr>
        <w:t>ЄДРСР: https://reyestr.court.gov.ua/Review/135576614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Сімейний кодекс України: https://zakon.rada.gov.ua/laws/show/2947-14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Святошинського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Позивач: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pStyle w:val="Title"/>
        <w:spacing w:after="80" w:line="252" w:lineRule="auto"/>
        <w:jc w:val="center"/>
      </w:pPr>
      <w:r>
        <w:t>Позов спадкоємця про право на частку квартири у спільній сумісній власності</w:t>
      </w:r>
    </w:p>
    <w:p>
      <w:pPr>
        <w:pStyle w:val="Heading2"/>
        <w:spacing w:after="80" w:line="252" w:lineRule="auto"/>
      </w:pPr>
      <w:r>
        <w:t>Спадщина і прийняття</w:t>
      </w:r>
    </w:p>
    <w:p>
      <w:pPr>
        <w:spacing w:after="80" w:line="252" w:lineRule="auto"/>
      </w:pPr>
      <w:r>
        <w:t>[Спадкодавець] помер(ла) [дата], місце відкриття спадщини [дані], свідоцтво [реквізити]. Право маю за [заповіт з реквізитами / закон і доведена черга]. Спадщину прийнято [дата, законний спосіб, доказ], справа [номер, нотаріус]. Інші спадкоємці [особи, прийняття, належна відмова]. Їх відсутність не припускаю лише через брак контакту. Спадщину іншого померлого співвласника не включаю без окремої підстави.</w:t>
      </w:r>
    </w:p>
    <w:p>
      <w:pPr>
        <w:pStyle w:val="Heading2"/>
        <w:spacing w:after="80" w:line="252" w:lineRule="auto"/>
      </w:pPr>
      <w:r>
        <w:t>Майно і частка</w:t>
      </w:r>
    </w:p>
    <w:p>
      <w:pPr>
        <w:spacing w:after="80" w:line="252" w:lineRule="auto"/>
      </w:pPr>
      <w:r>
        <w:t>Квартира [адреса, площа, реєстрація] була спільною сумісною власністю [особи] за [титул, реєстрація]. Право спадкодавця на дату смерті підтверджує [доказ]. Його частка [розмір] визначається за [норма, договір, обставини]. Рівність часток не застосовую всупереч підтвердженому іншому співвідношенню. Мій інтерес: [частка у спадщині] × [частка спадкодавця у квартирі] = [частка квартири]. Іншого об’єкта чи іншої спадщини розрахунок не стосується.</w:t>
      </w:r>
    </w:p>
    <w:p>
      <w:pPr>
        <w:pStyle w:val="Heading2"/>
        <w:spacing w:after="80" w:line="252" w:lineRule="auto"/>
      </w:pPr>
      <w:r>
        <w:t>Перешкода і захист</w:t>
      </w:r>
    </w:p>
    <w:p>
      <w:pPr>
        <w:spacing w:after="80" w:line="252" w:lineRule="auto"/>
      </w:pPr>
      <w:r>
        <w:t>Нотаріус постановою від [дата] відмовив у свідоцтві через [точна причина]. Позасудово проблему не усунуто [заходи, результат, докази]. За статтями 16, 392, 1216, 1218 і 1296 ЦК прошу визнати моє право на конкретну частку в порядку спадкування. Окремого визначення права за померлим як кінцевої вимоги не прошу: його правоздатність припинилася зі смертю. Судовий захист є винятковим за наявної перешкоди, а не звичайною заміною нотаріальному оформленню.</w:t>
      </w:r>
    </w:p>
    <w:p>
      <w:pPr>
        <w:pStyle w:val="Heading2"/>
        <w:spacing w:after="80" w:line="252" w:lineRule="auto"/>
      </w:pPr>
      <w:r>
        <w:t>Сторони і процес</w:t>
      </w:r>
    </w:p>
    <w:p>
      <w:pPr>
        <w:spacing w:after="80" w:line="252" w:lineRule="auto"/>
      </w:pPr>
      <w:r>
        <w:t>Належні відповідачі [живі спадкоємці / громада за підтверджених умов] визначені за [як їх права зачіпає вимога]. Нотаріус не стає автоматично відповідачем у спорі про спадкове право. Виключну підсудність за статтею 30 ЦПК обґрунтовує місце квартири. Ціна дорівнює вартості спірної частки [оцінка, сума], збір [чинна ставка, розрахунок / доказ пільги]. Підтверджене прийняття спадщини не підміняю питанням позовної давності за самостійними спірними вимогами.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Підсудність: [конкретна підстава статей 27–28 ЦПК і доказ]. Ціна майнових вимог [сума, розрахунок]. Судовий збір: [пільга з доказами / чинна ставка, обчислення і квитанція]. Попередні судові витрати: [збір, експертиза, правнича допомога, інші витрати та суми]. Досудове врегулювання: [дата і результат / не проводилось]; забезпечення до позову: [ухвала / не проводилось]. Наявні докази додаю; неподані докази та причини: [перелік / немає]. Іншого позову до цих відповідачів з тим самим предметом і підставами не подано.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Визнати за [позивач] право власності на [частка] квартири [ідентифікація] в порядку спадкування [за заповітом / за законом] після смерті [спадкодавець, дата].</w:t>
      </w:r>
    </w:p>
    <w:p>
      <w:pPr>
        <w:spacing w:after="80" w:line="252" w:lineRule="auto"/>
      </w:pPr>
      <w:r>
        <w:t>2. Розподілити підтверджені судові витрати.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Свідоцтво про смерть, заповіт або підтверджена черга.</w:t>
      </w:r>
    </w:p>
    <w:p>
      <w:pPr>
        <w:spacing w:after="80" w:line="252" w:lineRule="auto"/>
      </w:pPr>
      <w:r>
        <w:t>2. Прийняття спадщини й документи інших спадкоємців.</w:t>
      </w:r>
    </w:p>
    <w:p>
      <w:pPr>
        <w:spacing w:after="80" w:line="252" w:lineRule="auto"/>
      </w:pPr>
      <w:r>
        <w:t>3. Титул квартири, реєстрація, обґрунтування частки.</w:t>
      </w:r>
    </w:p>
    <w:p>
      <w:pPr>
        <w:spacing w:after="80" w:line="252" w:lineRule="auto"/>
      </w:pPr>
      <w:r>
        <w:t>4. Постанова нотаріуса і докази позасудових заходів.</w:t>
      </w:r>
    </w:p>
    <w:p>
      <w:pPr>
        <w:spacing w:after="80" w:line="252" w:lineRule="auto"/>
      </w:pPr>
      <w:r>
        <w:t>5. Оцінка спірної частки, ціна, збір або пільга.</w:t>
      </w:r>
    </w:p>
    <w:p>
      <w:pPr>
        <w:spacing w:after="80" w:line="252" w:lineRule="auto"/>
      </w:pPr>
      <w:r>
        <w:t>6.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7.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