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третьої особи із самостійною вимогою на спадкову частку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№759/4012/26, рішення від 08.04.2026 (ЄДРСР №135576614). Нотаріус відмовив у свідоцтві через невизначені частки померлих співвласників у договорі міни квартири. Суд визнав за спадкоємцем право власності на половину квартири в порядку спадкування за заповітом. Захист стосувався права живого спадкоємця, а не окремого визначення права за померлим. Мотивувальна частина згадує також спадкування за законом; результат описано за резолютивною частиною про заповіт. Половина в цьому акті не є універсальною часткою для інших спадкових справ.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Особі з власною вимогою на той самий спадковий об’єкт у вже відкритій справі.</w:t>
      </w:r>
    </w:p>
    <w:p>
      <w:pPr>
        <w:pStyle w:val="Heading2"/>
        <w:spacing w:before="80" w:after="80"/>
      </w:pPr>
      <w:r>
        <w:rPr>
          <w:sz w:val="24"/>
        </w:rPr>
        <w:t>Відмінність</w:t>
      </w:r>
    </w:p>
    <w:p>
      <w:pPr>
        <w:spacing w:after="80" w:line="252" w:lineRule="auto"/>
      </w:pPr>
      <w:r>
        <w:rPr>
          <w:sz w:val="22"/>
        </w:rPr>
        <w:t>Самостійний позов відрізняється від вступу третьою особою без вимог чи простого пояснення родича.</w:t>
      </w:r>
    </w:p>
    <w:p>
      <w:pPr>
        <w:pStyle w:val="Heading2"/>
        <w:spacing w:before="80" w:after="80"/>
      </w:pPr>
      <w:r>
        <w:rPr>
          <w:sz w:val="24"/>
        </w:rPr>
        <w:t>Строк і вимоги</w:t>
      </w:r>
    </w:p>
    <w:p>
      <w:pPr>
        <w:spacing w:after="80" w:line="252" w:lineRule="auto"/>
      </w:pPr>
      <w:r>
        <w:rPr>
          <w:sz w:val="22"/>
        </w:rPr>
        <w:t>Дотримуйтеся стадії за статтею 52, правил статей 175–177 та збору за власним позовом.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https://youcontrol.com.ua/catalog/court-document/135576614/</w:t>
      </w:r>
    </w:p>
    <w:p>
      <w:pPr>
        <w:spacing w:after="80" w:line="252" w:lineRule="auto"/>
      </w:pPr>
      <w:r>
        <w:rPr>
          <w:sz w:val="20"/>
        </w:rPr>
        <w:t>ЄДРСР: https://reyestr.court.gov.ua/Review/135576614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Святошинського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Третя особа із самостійними вимогами: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Позов третьої особи із самостійною вимогою на спадкову частку</w:t>
      </w:r>
    </w:p>
    <w:p>
      <w:pPr>
        <w:pStyle w:val="Heading2"/>
        <w:spacing w:after="80" w:line="252" w:lineRule="auto"/>
      </w:pPr>
      <w:r>
        <w:t>Відкрита справа і власний предмет</w:t>
      </w:r>
    </w:p>
    <w:p>
      <w:pPr>
        <w:spacing w:after="80" w:line="252" w:lineRule="auto"/>
      </w:pPr>
      <w:r>
        <w:t>У справі [номер] позивач [особа] просить визнати право на [частка] квартири [адреса] після [спадкодавець]. Маю власну самостійну вимогу на цей самий предмет [точна частка і право], яка [конкурує / іншим чином стосується предмета]. Не прошу лише підтримати одну зі сторін; для простого впливу рішення на мої права застосовується інший статус.</w:t>
      </w:r>
    </w:p>
    <w:p>
      <w:pPr>
        <w:pStyle w:val="Heading2"/>
        <w:spacing w:after="80" w:line="252" w:lineRule="auto"/>
      </w:pPr>
      <w:r>
        <w:t>Моє спадкове право</w:t>
      </w:r>
    </w:p>
    <w:p>
      <w:pPr>
        <w:spacing w:after="80" w:line="252" w:lineRule="auto"/>
      </w:pPr>
      <w:r>
        <w:t>Спадкодавець помер [дата], відкриття спадщини [дані]. Підстава мого права [заповіт / закон, черга], прийняття [дія або обставина, дата, доказ]. Склад спадщини і право померлого [титул, частка]. Мій розрахунок [частка у спадщині] × [частка померлого в квартирі] = [власна частка]. Інших спадкодавців чи не заявлений об’єкт не додаю без належної самостійної підстави.</w:t>
      </w:r>
    </w:p>
    <w:p>
      <w:pPr>
        <w:pStyle w:val="Heading2"/>
        <w:spacing w:after="80" w:line="252" w:lineRule="auto"/>
      </w:pPr>
      <w:r>
        <w:t>Спір та перешкода</w:t>
      </w:r>
    </w:p>
    <w:p>
      <w:pPr>
        <w:spacing w:after="80" w:line="252" w:lineRule="auto"/>
      </w:pPr>
      <w:r>
        <w:t>Первісна вимога зачіпає мій інтерес через [перекриття частки, невраховане право, доказ]. Нотаріальна перешкода [відмова, дата, причина] і неможливість оформлення поза судом [матеріали]. Належні відповідачі за моїм позовом [одна чи кілька сторін справи з обґрунтуванням]. Обов’язковість іншого учасника [дані]. Самого статусу родича недостатньо без прийняття й підстави права.</w:t>
      </w:r>
    </w:p>
    <w:p>
      <w:pPr>
        <w:pStyle w:val="Heading2"/>
        <w:spacing w:after="80" w:line="252" w:lineRule="auto"/>
      </w:pPr>
      <w:r>
        <w:t>Вступ і процес</w:t>
      </w:r>
    </w:p>
    <w:p>
      <w:pPr>
        <w:spacing w:after="80" w:line="252" w:lineRule="auto"/>
      </w:pPr>
      <w:r>
        <w:t>Позов подаю за статтями 52 та 195 ЦПК до закінчення підготовчого провадження, а у спрощеній справі до початку першого судового засідання [фактична стадія, дати]. Вимоги статей 175–177 виконано; підсудність, ціну спірної частки, збір або пільгу обґрунтовано [дані]. За необхідності розгляду спочатку пояснюю [потреба]; не заявляю його як автоматичний наслідок без клопотання.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Підсудність: [конкретна підстава статей 27–28 ЦПК і доказ]. Ціна майнових вимог [сума, розрахунок]. Судовий збір: [пільга з доказами / чинна ставка, обчислення і квитанція]. Попередні судові витрати: [збір, експертиза, правнича допомога, інші витрати та суми]. Досудове врегулювання: [дата і результат / не проводилось]; забезпечення до позову: [ухвала / не проводилось]. Наявні докази додаю; неподані докази та причини: [перелік / немає]. Іншого позову до цих відповідачів з тим самим предметом і підставами не подано.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Прийняти позов і допустити вступ третьої особи із самостійними вимогами щодо предмета спору за статтями 52 та 195 ЦПК.</w:t>
      </w:r>
    </w:p>
    <w:p>
      <w:pPr>
        <w:spacing w:after="80" w:line="252" w:lineRule="auto"/>
      </w:pPr>
      <w:r>
        <w:t>2. Визнати моє право на [точна частка, об’єкт, підстава спадкування] за доведених умов судового захисту.</w:t>
      </w:r>
    </w:p>
    <w:p>
      <w:pPr>
        <w:spacing w:after="80" w:line="252" w:lineRule="auto"/>
      </w:pPr>
      <w:r>
        <w:t>3. За потреби з наведених підстав розглянути справу спочатку після вступу.</w:t>
      </w:r>
    </w:p>
    <w:p>
      <w:pPr>
        <w:spacing w:after="80" w:line="252" w:lineRule="auto"/>
      </w:pPr>
      <w:r>
        <w:t>4. Розподілити підтверджені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Матеріали відкритої справи та підтвердження стадії.</w:t>
      </w:r>
    </w:p>
    <w:p>
      <w:pPr>
        <w:spacing w:after="80" w:line="252" w:lineRule="auto"/>
      </w:pPr>
      <w:r>
        <w:t>2. Титул спадкодавця, заповіт або черга, прийняття спадщини.</w:t>
      </w:r>
    </w:p>
    <w:p>
      <w:pPr>
        <w:spacing w:after="80" w:line="252" w:lineRule="auto"/>
      </w:pPr>
      <w:r>
        <w:t>3. Нотаріальна перешкода та розрахунок власної частки.</w:t>
      </w:r>
    </w:p>
    <w:p>
      <w:pPr>
        <w:spacing w:after="80" w:line="252" w:lineRule="auto"/>
      </w:pPr>
      <w:r>
        <w:t>4. Ціна, збір або підтверджена пільга, копії учасникам.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