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80" w:after="80"/>
      </w:pPr>
      <w:r>
        <w:rPr>
          <w:sz w:val="32"/>
        </w:rPr>
        <w:t>Позов про виселення після припинення тимчасового комунального найму</w:t>
      </w:r>
    </w:p>
    <w:p>
      <w:pPr>
        <w:pStyle w:val="Heading1"/>
        <w:spacing w:before="80" w:after="80"/>
      </w:pPr>
      <w:r>
        <w:rPr>
          <w:sz w:val="24"/>
        </w:rPr>
        <w:t>Пояснення до форми AVENT</w:t>
      </w:r>
    </w:p>
    <w:p>
      <w:pPr>
        <w:spacing w:after="80" w:line="252" w:lineRule="auto"/>
      </w:pPr>
      <w:r>
        <w:rPr>
          <w:sz w:val="22"/>
        </w:rPr>
        <w:t>Цю пояснювальну частину не подавайте як текст звернення до суду. Форма починається після пояснень з окремої сторінки. Заповніть власні дані й вилучіть підказки. Редакція 09.10.2026.</w:t>
      </w:r>
    </w:p>
    <w:p>
      <w:pPr>
        <w:pStyle w:val="Heading2"/>
        <w:spacing w:before="80" w:after="80"/>
      </w:pPr>
      <w:r>
        <w:rPr>
          <w:sz w:val="24"/>
        </w:rPr>
        <w:t>Реальна практика</w:t>
      </w:r>
    </w:p>
    <w:p>
      <w:pPr>
        <w:spacing w:after="80" w:line="252" w:lineRule="auto"/>
      </w:pPr>
      <w:r>
        <w:rPr>
          <w:sz w:val="22"/>
        </w:rPr>
        <w:t>Справа №758/3534/26, рішення від 28.05.2026 (ЄДРСР №137766386). Заочним рішенням мешканця виселено з квартири спеціального комунального житлового фонду після спору про строк договору та вимог звільнити житло. Наймачем за договором була громадська організація, яка залучена третьою особою. Суд згадує мовчазне поновлення договору, але далі виходить із його припинення; ці мотиви потрібно перевіряти за послідовністю продовжень і заперечень у власній справі. Рішення не встановлює загального правила виселення з будь-якого житла. Подальший перегляд, набрання законної сили та виконання окремо не перевірені.</w:t>
      </w:r>
    </w:p>
    <w:p>
      <w:pPr>
        <w:pStyle w:val="Heading2"/>
        <w:spacing w:before="80" w:after="80"/>
      </w:pPr>
      <w:r>
        <w:rPr>
          <w:sz w:val="24"/>
        </w:rPr>
        <w:t>Кому підходить</w:t>
      </w:r>
    </w:p>
    <w:p>
      <w:pPr>
        <w:spacing w:after="80" w:line="252" w:lineRule="auto"/>
      </w:pPr>
      <w:r>
        <w:rPr>
          <w:sz w:val="22"/>
        </w:rPr>
        <w:t>Належному власнику або іншому уповноваженому позивачу щодо спеціального тимчасового комунального житла.</w:t>
      </w:r>
    </w:p>
    <w:p>
      <w:pPr>
        <w:pStyle w:val="Heading2"/>
        <w:spacing w:before="80" w:after="80"/>
      </w:pPr>
      <w:r>
        <w:rPr>
          <w:sz w:val="24"/>
        </w:rPr>
        <w:t>Правовий режим</w:t>
      </w:r>
    </w:p>
    <w:p>
      <w:pPr>
        <w:spacing w:after="80" w:line="252" w:lineRule="auto"/>
      </w:pPr>
      <w:r>
        <w:rPr>
          <w:sz w:val="22"/>
        </w:rPr>
        <w:t>Встановіть режим саме цього фонду, усі продовження та можливе мовчазне поновлення. Для приватного найму потрібна інша адаптація.</w:t>
      </w:r>
    </w:p>
    <w:p>
      <w:pPr>
        <w:pStyle w:val="Heading2"/>
        <w:spacing w:before="80" w:after="80"/>
      </w:pPr>
      <w:r>
        <w:rPr>
          <w:sz w:val="24"/>
        </w:rPr>
        <w:t>Перед поданням</w:t>
      </w:r>
    </w:p>
    <w:p>
      <w:pPr>
        <w:spacing w:after="80" w:line="252" w:lineRule="auto"/>
      </w:pPr>
      <w:r>
        <w:rPr>
          <w:sz w:val="22"/>
        </w:rPr>
        <w:t>Перевірте кожного мешканця, статус договірного наймача, підсудність і пропорційність виселення.</w:t>
      </w:r>
    </w:p>
    <w:p>
      <w:pPr>
        <w:pStyle w:val="Heading2"/>
        <w:spacing w:before="80" w:after="80"/>
      </w:pPr>
      <w:r>
        <w:rPr>
          <w:sz w:val="24"/>
        </w:rPr>
        <w:t>Джерела</w:t>
      </w:r>
    </w:p>
    <w:p>
      <w:pPr>
        <w:spacing w:after="80" w:line="252" w:lineRule="auto"/>
      </w:pPr>
      <w:r>
        <w:rPr>
          <w:sz w:val="20"/>
        </w:rPr>
        <w:t>Повний текст рішення: https://youcontrol.com.ua/catalog/court-document/137766386/</w:t>
      </w:r>
    </w:p>
    <w:p>
      <w:pPr>
        <w:spacing w:after="80" w:line="252" w:lineRule="auto"/>
      </w:pPr>
      <w:r>
        <w:rPr>
          <w:sz w:val="20"/>
        </w:rPr>
        <w:t>ЄДРСР: https://reyestr.court.gov.ua/Review/137766386</w:t>
      </w:r>
    </w:p>
    <w:p>
      <w:pPr>
        <w:spacing w:after="80" w:line="252" w:lineRule="auto"/>
      </w:pPr>
      <w:r>
        <w:rPr>
          <w:sz w:val="20"/>
        </w:rPr>
        <w:t>ЦПК України: https://zakon.rada.gov.ua/laws/show/1618-15</w:t>
      </w:r>
    </w:p>
    <w:p>
      <w:pPr>
        <w:spacing w:after="80" w:line="252" w:lineRule="auto"/>
      </w:pPr>
      <w:r>
        <w:rPr>
          <w:sz w:val="20"/>
        </w:rPr>
        <w:t>Закон про судовий збір: https://zakon.rada.gov.ua/laws/show/3674-17</w:t>
      </w:r>
    </w:p>
    <w:p>
      <w:pPr>
        <w:spacing w:after="80" w:line="252" w:lineRule="auto"/>
      </w:pPr>
      <w:r>
        <w:rPr>
          <w:sz w:val="20"/>
        </w:rPr>
        <w:t>ЦК України: https://zakon.rada.gov.ua/laws/show/435-15</w:t>
      </w:r>
    </w:p>
    <w:p>
      <w:pPr>
        <w:spacing w:after="80" w:line="252" w:lineRule="auto"/>
      </w:pPr>
      <w:r>
        <w:rPr>
          <w:sz w:val="20"/>
        </w:rPr>
        <w:t>Конвенція про захист прав людини: https://zakon.rada.gov.ua/laws/show/995_004</w:t>
      </w:r>
    </w:p>
    <w:p>
      <w:pPr>
        <w:spacing w:after="80" w:line="252" w:lineRule="auto"/>
      </w:pPr>
      <w:r>
        <w:rPr>
          <w:sz w:val="22"/>
        </w:rPr>
        <w:t>Авторська адаптація AVENT. Результат залежить від власних обставин і доказів.</w:t>
      </w:r>
    </w:p>
    <w:p>
      <w:pPr>
        <w:pageBreakBefore/>
        <w:spacing w:after="80" w:line="252" w:lineRule="auto"/>
      </w:pPr>
      <w:r>
        <w:t>До Подільського районного суду міста Києва</w:t>
        <w:br/>
        <w:t>[Актуальна адреса суду]</w:t>
      </w:r>
    </w:p>
    <w:p>
      <w:pPr>
        <w:spacing w:after="80" w:line="252" w:lineRule="auto"/>
      </w:pPr>
      <w:r>
        <w:t>Позивач: [ПІБ / повне найменування]</w:t>
        <w:br/>
        <w:t>Адреса та індекс: [дані]</w:t>
        <w:br/>
        <w:t>РНОКПП / ЄДРПОУ або паспортні дані в передбачених законом випадках: [дані]</w:t>
        <w:br/>
        <w:t>Телефон, електронна пошта: [дані / відсутні]</w:t>
        <w:br/>
        <w:t>Електронний кабінет: [наявний / відсутній]</w:t>
      </w:r>
    </w:p>
    <w:p>
      <w:pPr>
        <w:spacing w:after="80" w:line="252" w:lineRule="auto"/>
      </w:pPr>
      <w:r>
        <w:t>Представник за наявності: [ПІБ, адреса, індекс, контакти, документ про повноваження]</w:t>
        <w:br/>
        <w:t>Електронний кабінет представника: [наявний / відсутній]</w:t>
      </w:r>
    </w:p>
    <w:p>
      <w:pPr>
        <w:spacing w:after="80" w:line="252" w:lineRule="auto"/>
      </w:pPr>
      <w:r>
        <w:t>Інші учасники: [повні дані кожного, процесуальний статус]</w:t>
        <w:br/>
        <w:t>Адреса та індекс, відомі РНОКПП / ЄДРПОУ, контакти: [дані / невідомо]</w:t>
        <w:br/>
        <w:t>Електронний кабінет: [наявний / відсутній / невідомо]</w:t>
        <w:br/>
        <w:t>[Повторити для кожного відповідача і третьої особи]</w:t>
      </w:r>
    </w:p>
    <w:p>
      <w:pPr>
        <w:pStyle w:val="Title"/>
        <w:spacing w:after="80" w:line="252" w:lineRule="auto"/>
        <w:jc w:val="center"/>
      </w:pPr>
      <w:r>
        <w:t>Позов про виселення після припинення тимчасового комунального найму</w:t>
      </w:r>
    </w:p>
    <w:p>
      <w:pPr>
        <w:pStyle w:val="Heading2"/>
        <w:spacing w:after="80" w:line="252" w:lineRule="auto"/>
      </w:pPr>
      <w:r>
        <w:t>Право на звернення</w:t>
      </w:r>
    </w:p>
    <w:p>
      <w:pPr>
        <w:spacing w:after="80" w:line="252" w:lineRule="auto"/>
      </w:pPr>
      <w:r>
        <w:t>Квартира [адреса, площа, реєстраційні дані] належить [власник] та віднесена до [категорія спеціального фонду] за [рішення, акт]. Моє повноваження вимагати повернення й виселення підтверджує [титул / договір / нормативний акт]. Балансоутримання саме собою не називаю доказом усіх прав власника. Відповідач [особа] фактично займає [частина об’єкта] за [доказ].</w:t>
      </w:r>
    </w:p>
    <w:p>
      <w:pPr>
        <w:pStyle w:val="Heading2"/>
        <w:spacing w:after="80" w:line="252" w:lineRule="auto"/>
      </w:pPr>
      <w:r>
        <w:t>Надання та припинення</w:t>
      </w:r>
    </w:p>
    <w:p>
      <w:pPr>
        <w:spacing w:after="80" w:line="252" w:lineRule="auto"/>
      </w:pPr>
      <w:r>
        <w:t>Договір з [наймач] від [дата] передбачав [строк, підстави заселення мешканців]. Усі продовження [перелік, кінцеві дати] додано. Право користування припинилося [конкретна норма і підтверджений факт]. Після спливу договору заперечення поновленню [лист, дата, доставка]. Статтю 764 ЦК перевірено разом зі спеціальним режимом; відсутність нової угоди без аналізу мовчазного поновлення не є єдиним доводом.</w:t>
      </w:r>
    </w:p>
    <w:p>
      <w:pPr>
        <w:pStyle w:val="Heading2"/>
        <w:spacing w:after="80" w:line="252" w:lineRule="auto"/>
      </w:pPr>
      <w:r>
        <w:t>Повернення і фактичний стан</w:t>
      </w:r>
    </w:p>
    <w:p>
      <w:pPr>
        <w:spacing w:after="80" w:line="252" w:lineRule="auto"/>
      </w:pPr>
      <w:r>
        <w:t>Наймачу та мешканцю направлено вимоги [дати, адреси, зміст], вручення чи причини повернення [докази]. Строк добровільного звільнення [дата] минув, квартира не передана за [огляд, акт, листування]. Не прошу виселення невизначених осіб або повернення іншого об’єкта. Статус організації наймача та вплив рішення на її обов’язки [обґрунтування складу учасників].</w:t>
      </w:r>
    </w:p>
    <w:p>
      <w:pPr>
        <w:pStyle w:val="Heading2"/>
        <w:spacing w:after="80" w:line="252" w:lineRule="auto"/>
      </w:pPr>
      <w:r>
        <w:t>Право на житло і вимога</w:t>
      </w:r>
    </w:p>
    <w:p>
      <w:pPr>
        <w:spacing w:after="80" w:line="252" w:lineRule="auto"/>
      </w:pPr>
      <w:r>
        <w:t>Оскільки квартира є фактичним домом відповідача, обґрунтовую законність, мету й пропорційність виселення за статтею 8 Конвенції: [строк тимчасового надання, попередження, потреба фонду, оцінені альтернативи]. Не стверджую, що закінчення договору звільняє від такого аналізу. Позов немайновий; збір визначено для статусу позивача за чинною ставкою [розрахунок]. Вимоги про борг або шкоду цією формою не додаються.</w:t>
      </w:r>
    </w:p>
    <w:p>
      <w:pPr>
        <w:pStyle w:val="Heading2"/>
        <w:spacing w:after="80" w:line="252" w:lineRule="auto"/>
      </w:pPr>
      <w:r>
        <w:t>Процесуальні відомості</w:t>
      </w:r>
    </w:p>
    <w:p>
      <w:pPr>
        <w:spacing w:after="80" w:line="252" w:lineRule="auto"/>
      </w:pPr>
      <w:r>
        <w:t>Підсудність: [конкретна підстава статей 27–28 ЦПК і доказ]. Позов немайновий; ціна позову не визначається. Судовий збір: [пільга з доказами / чинна ставка, обчислення і квитанція]. Попередні судові витрати: [збір, експертиза, правнича допомога, інші витрати та суми]. Досудове врегулювання: [дата і результат / не проводилось]; забезпечення до позову: [ухвала / не проводилось]. Наявні докази додаю; неподані докази та причини: [перелік / немає]. Іншого позову до цих відповідачів з тим самим предметом і підставами не подано. Копії цього документа та додатків направлено іншим учасникам [дата, спосіб, підтвердження] у порядку статті 43 ЦПК. Оригінали письмових доказів знаходяться у [особа, місце]; відповідність поданих копій оригіналам підтверджую. Повноваження представника підтверджує [документ / звертаюся особисто].</w:t>
      </w:r>
    </w:p>
    <w:p>
      <w:pPr>
        <w:pStyle w:val="Heading2"/>
        <w:spacing w:after="80" w:line="252" w:lineRule="auto"/>
      </w:pPr>
      <w:r>
        <w:t>Прошу суд</w:t>
      </w:r>
    </w:p>
    <w:p>
      <w:pPr>
        <w:spacing w:after="80" w:line="252" w:lineRule="auto"/>
      </w:pPr>
      <w:r>
        <w:t>1. Виселити [повні дані відповідача] з [точно визначена квартира або приміщення] після припинення доведеної підстави користування.</w:t>
      </w:r>
    </w:p>
    <w:p>
      <w:pPr>
        <w:spacing w:after="80" w:line="252" w:lineRule="auto"/>
      </w:pPr>
      <w:r>
        <w:t>2. Розподілити підтверджені судові витрати за статтею 141 ЦПК.</w:t>
      </w:r>
    </w:p>
    <w:p>
      <w:pPr>
        <w:pStyle w:val="Heading2"/>
        <w:spacing w:after="80" w:line="252" w:lineRule="auto"/>
      </w:pPr>
      <w:r>
        <w:t>Додатки</w:t>
      </w:r>
    </w:p>
    <w:p>
      <w:pPr>
        <w:spacing w:after="80" w:line="252" w:lineRule="auto"/>
      </w:pPr>
      <w:r>
        <w:t>1. Титул, режим фонду та повноваження позивача.</w:t>
      </w:r>
    </w:p>
    <w:p>
      <w:pPr>
        <w:spacing w:after="80" w:line="252" w:lineRule="auto"/>
      </w:pPr>
      <w:r>
        <w:t>2. Договір, продовження й документи заселення.</w:t>
      </w:r>
    </w:p>
    <w:p>
      <w:pPr>
        <w:spacing w:after="80" w:line="252" w:lineRule="auto"/>
      </w:pPr>
      <w:r>
        <w:t>3. Вимоги, доставка, матеріали неповернення.</w:t>
      </w:r>
    </w:p>
    <w:p>
      <w:pPr>
        <w:spacing w:after="80" w:line="252" w:lineRule="auto"/>
      </w:pPr>
      <w:r>
        <w:t>4. Докази пропорційності втручання та квитанція збору.</w:t>
      </w:r>
    </w:p>
    <w:p>
      <w:pPr>
        <w:spacing w:after="80" w:line="252" w:lineRule="auto"/>
      </w:pPr>
      <w:r>
        <w:t>5. Документ про повноваження представника — за наявності.</w:t>
      </w:r>
    </w:p>
    <w:p>
      <w:pPr>
        <w:keepNext/>
        <w:spacing w:after="80" w:line="252" w:lineRule="auto"/>
      </w:pPr>
      <w:r>
        <w:t>6. Підтвердження направлення копій іншим учасникам у застосовному порядку.</w:t>
      </w:r>
    </w:p>
    <w:p>
      <w:pPr>
        <w:keepLines/>
        <w:spacing w:after="80" w:line="252" w:lineRule="auto"/>
      </w:pPr>
      <w:r>
        <w:t>[Дата]</w:t>
        <w:br/>
        <w:t>[Підпис / КЕП] [ПІБ]</w:t>
      </w:r>
    </w:p>
    <w:sectPr w:rsidR="00FC693F" w:rsidRPr="0006063C" w:rsidSect="00034616">
      <w:footerReference w:type="default" r:id="rId9"/>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4" w:lineRule="auto"/>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64" w:lineRule="auto"/>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20" w:line="264" w:lineRule="auto"/>
      <w:outlineLvl w:val="2"/>
    </w:pPr>
    <w:rPr>
      <w:rFonts w:asciiTheme="majorHAnsi" w:eastAsiaTheme="majorEastAsia" w:hAnsiTheme="majorHAnsi" w:cstheme="majorBidi" w:ascii="Times New Roman" w:hAnsi="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64"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