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на відзив щодо особистої ідентифікації у публікації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№757/15671/26-ц, рішення від 24.07.2026 (ЄДРСР №139105495). У позові двох фізичних осіб щодо інтернет-публікації відмовлено. Суд не встановив, що оспорювані відомості про діяльність підприємства однозначно стосувалися особистої поведінки позивачів, а підтверджені відомості про їхні посади не становили недостовірного твердження. Право юридичної особи захищати власну репутацію відділено від особистого позову її працівника чи учасника. Рішення не робить будь-яку журналістську критику недоторканною і не визначає автоматично правдивість усієї публікації.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якому заперечують особисту ідентифікацію у матеріалі про компанію.</w:t>
      </w:r>
    </w:p>
    <w:p>
      <w:pPr>
        <w:pStyle w:val="Heading2"/>
        <w:spacing w:before="80" w:after="80"/>
      </w:pPr>
      <w:r>
        <w:rPr>
          <w:sz w:val="24"/>
        </w:rPr>
        <w:t>Власне право</w:t>
      </w:r>
    </w:p>
    <w:p>
      <w:pPr>
        <w:spacing w:after="80" w:line="252" w:lineRule="auto"/>
      </w:pPr>
      <w:r>
        <w:rPr>
          <w:sz w:val="22"/>
        </w:rPr>
        <w:t>Покажіть приписування конкретної дії особисто вам. Не підміняйте позовом працівника право компанії.</w:t>
      </w:r>
    </w:p>
    <w:p>
      <w:pPr>
        <w:pStyle w:val="Heading2"/>
        <w:spacing w:before="80" w:after="80"/>
      </w:pPr>
      <w:r>
        <w:rPr>
          <w:sz w:val="24"/>
        </w:rPr>
        <w:t>Межі відповіді</w:t>
      </w:r>
    </w:p>
    <w:p>
      <w:pPr>
        <w:spacing w:after="80" w:line="252" w:lineRule="auto"/>
      </w:pPr>
      <w:r>
        <w:rPr>
          <w:sz w:val="22"/>
        </w:rPr>
        <w:t>Відповідь не замінює зміну предмета позову чи залучення нового позивача.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https://youcontrol.com.ua/catalog/court-document/139105495/</w:t>
      </w:r>
    </w:p>
    <w:p>
      <w:pPr>
        <w:spacing w:after="80" w:line="252" w:lineRule="auto"/>
      </w:pPr>
      <w:r>
        <w:rPr>
          <w:sz w:val="20"/>
        </w:rPr>
        <w:t>ЄДРСР: https://reyestr.court.gov.ua/Review/139105495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інформацію: https://zakon.rada.gov.ua/laws/show/2657-12</w:t>
      </w:r>
    </w:p>
    <w:p>
      <w:pPr>
        <w:spacing w:after="80" w:line="252" w:lineRule="auto"/>
      </w:pPr>
      <w:r>
        <w:rPr>
          <w:sz w:val="20"/>
        </w:rPr>
        <w:t>Конвенція про захист прав людини: https://zakon.rada.gov.ua/laws/show/995_004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Печерського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Відповідь на відзив щодо особистої ідентифікації у публікації</w:t>
      </w:r>
    </w:p>
    <w:p>
      <w:pPr>
        <w:pStyle w:val="Heading2"/>
        <w:spacing w:after="80" w:line="252" w:lineRule="auto"/>
      </w:pPr>
      <w:r>
        <w:t>Довід відповідача</w:t>
      </w:r>
    </w:p>
    <w:p>
      <w:pPr>
        <w:spacing w:after="80" w:line="252" w:lineRule="auto"/>
      </w:pPr>
      <w:r>
        <w:t>Відзив [дата] отримано [дата]. Відповідач стверджує, що публікація [URL] стосується лише компанії. Заперечую цей довід щодо конкретного фрагмента [текст], який уже включений до первісного позову. Нового позивача чи нові самостійні вимоги цією відповіддю не додаю.</w:t>
      </w:r>
    </w:p>
    <w:p>
      <w:pPr>
        <w:pStyle w:val="Heading2"/>
        <w:spacing w:after="80" w:line="252" w:lineRule="auto"/>
      </w:pPr>
      <w:r>
        <w:t>Мовний і фактичний зв’язок</w:t>
      </w:r>
    </w:p>
    <w:p>
      <w:pPr>
        <w:spacing w:after="80" w:line="252" w:lineRule="auto"/>
      </w:pPr>
      <w:r>
        <w:t>У реченні [фрагмент] суб’єкт дії [особа або однозначні ознаки], дія [точний зміст]. Попередні й наступні речення [контекст] пов’язують її зі мною через [ідентифікатори]. Документи [назви] підтверджують ці ознаки. Самого називання мене працівником недостатньо для всіх тверджень про компанію; тут доводжу саме персональне приписування.</w:t>
      </w:r>
    </w:p>
    <w:p>
      <w:pPr>
        <w:pStyle w:val="Heading2"/>
        <w:spacing w:after="80" w:line="252" w:lineRule="auto"/>
      </w:pPr>
      <w:r>
        <w:t>Межі факту</w:t>
      </w:r>
    </w:p>
    <w:p>
      <w:pPr>
        <w:spacing w:after="80" w:line="252" w:lineRule="auto"/>
      </w:pPr>
      <w:r>
        <w:t>На заперечення про оціночне судження відповідаю [чому твердження перевірюване]. Докази недостовірності [перелік] стосуються саме цієї особистої дії. Підтверджені дані про посаду не оспорюю без підстав. Статтю 30 Закону про інформацію та статтю 10 Конвенції оцінюю з урахуванням контексту і суспільного інтересу.</w:t>
      </w:r>
    </w:p>
    <w:p>
      <w:pPr>
        <w:pStyle w:val="Heading2"/>
        <w:spacing w:after="80" w:line="252" w:lineRule="auto"/>
      </w:pPr>
      <w:r>
        <w:t>Подання та вимога</w:t>
      </w:r>
    </w:p>
    <w:p>
      <w:pPr>
        <w:spacing w:after="80" w:line="252" w:lineRule="auto"/>
      </w:pPr>
      <w:r>
        <w:t>Додаткові матеріали [перелік] стали потрібні через новий довід відзиву [пояснення]. Строк статті 83 ЦПК та причини подання пізніше [підтвердження]. Підтримую лише чинні вимоги [межі], а спосіб спростування [як відповідає оспорюваному фрагменту]. Нові фрагменти чи новий предмет за потреби оформлюються окремо у допустимому порядку статті 49 ЦПК.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Відповідь подаю за статтею 179 ЦПК у строк суду [ухвала, дата отримання, останній день]. Попередні витрати [дані]; неподані докази й причини [перелік / немає]. Окремої ставки збору за відповідь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відповідь і належно подані додаткові докази.</w:t>
      </w:r>
    </w:p>
    <w:p>
      <w:pPr>
        <w:spacing w:after="80" w:line="252" w:lineRule="auto"/>
      </w:pPr>
      <w:r>
        <w:t>2. Оцінити особисту ідентифікацію в зазначених фрагментах і їх повному контексті.</w:t>
      </w:r>
    </w:p>
    <w:p>
      <w:pPr>
        <w:spacing w:after="80" w:line="252" w:lineRule="auto"/>
      </w:pPr>
      <w:r>
        <w:t>3. Задовольнити чинні вимоги у доведених межах.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Відзив і підтвердження отримання.</w:t>
      </w:r>
    </w:p>
    <w:p>
      <w:pPr>
        <w:spacing w:after="80" w:line="252" w:lineRule="auto"/>
      </w:pPr>
      <w:r>
        <w:t>2. Контекст публікації та документи особистої ідентифікації.</w:t>
      </w:r>
    </w:p>
    <w:p>
      <w:pPr>
        <w:spacing w:after="80" w:line="252" w:lineRule="auto"/>
      </w:pPr>
      <w:r>
        <w:t>3. Докази недостовірності й обґрунтування строку додаткових матеріалів.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