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80" w:after="80"/>
      </w:pPr>
      <w:r>
        <w:rPr>
          <w:sz w:val="32"/>
        </w:rPr>
        <w:t>Відповідь на відзив продавця про виникнення дефекту телефона після передачі</w:t>
      </w:r>
    </w:p>
    <w:p>
      <w:pPr>
        <w:pStyle w:val="Heading1"/>
        <w:spacing w:before="80" w:after="80"/>
      </w:pPr>
      <w:r>
        <w:rPr>
          <w:sz w:val="24"/>
        </w:rPr>
        <w:t>Пояснення до форми AVENT</w:t>
      </w:r>
    </w:p>
    <w:p>
      <w:pPr>
        <w:spacing w:after="80" w:line="252" w:lineRule="auto"/>
      </w:pPr>
      <w:r>
        <w:rPr>
          <w:sz w:val="22"/>
        </w:rPr>
        <w:t>Цю пояснювальну частину не подавайте як текст звернення до суду. Форма починається після пояснень з окремої сторінки. Заповніть власні дані й вилучіть підказки. Редакція 09.10.2026.</w:t>
      </w:r>
    </w:p>
    <w:p>
      <w:pPr>
        <w:pStyle w:val="Heading2"/>
        <w:spacing w:before="80" w:after="80"/>
      </w:pPr>
      <w:r>
        <w:rPr>
          <w:sz w:val="24"/>
        </w:rPr>
        <w:t>Реальна практика</w:t>
      </w:r>
    </w:p>
    <w:p>
      <w:pPr>
        <w:spacing w:after="80" w:line="252" w:lineRule="auto"/>
      </w:pPr>
      <w:r>
        <w:rPr>
          <w:sz w:val="22"/>
        </w:rPr>
        <w:t>Справа №755/6450/26, рішення від 12.08.2026 (ЄДРСР №138914357). Покупець просив повернути 7 999 грн за телефон і стягнути 8 000 грн моральної шкоди, посилаючись на дефект екрана, виявлений наступного дня після купівлі. Суд відмовив: надані фото не давали змоги надійно ідентифікувати товар і його стан, а істотність недоліку не була доведена. Гарантійне правило про причину дефекту не усуває потреби довести сам недолік та підстави обраного способу захисту. Подальший перегляд, набрання законної сили та виконання окремо не перевірені.</w:t>
      </w:r>
    </w:p>
    <w:p>
      <w:pPr>
        <w:pStyle w:val="Heading2"/>
        <w:spacing w:before="80" w:after="80"/>
      </w:pPr>
      <w:r>
        <w:rPr>
          <w:sz w:val="24"/>
        </w:rPr>
        <w:t>Кому підходить</w:t>
      </w:r>
    </w:p>
    <w:p>
      <w:pPr>
        <w:spacing w:after="80" w:line="252" w:lineRule="auto"/>
      </w:pPr>
      <w:r>
        <w:rPr>
          <w:sz w:val="22"/>
        </w:rPr>
        <w:t>Споживачу, чий продавець у відзиві стверджує, що гарантійний дефект виник після передачі товару. Відповідь не звільняє позивача від доказування істотності для розірвання.</w:t>
      </w:r>
    </w:p>
    <w:p>
      <w:pPr>
        <w:pStyle w:val="Heading2"/>
        <w:spacing w:before="80" w:after="80"/>
      </w:pPr>
      <w:r>
        <w:rPr>
          <w:sz w:val="24"/>
        </w:rPr>
        <w:t>Строк і збір</w:t>
      </w:r>
    </w:p>
    <w:p>
      <w:pPr>
        <w:spacing w:after="80" w:line="252" w:lineRule="auto"/>
      </w:pPr>
      <w:r>
        <w:rPr>
          <w:sz w:val="22"/>
        </w:rPr>
        <w:t>Дотримайтесь строку суду для відповіді за статтею 179 ЦПК і правил подання доказів. За саму відповідь окремої ставки судового збору немає.</w:t>
      </w:r>
    </w:p>
    <w:p>
      <w:pPr>
        <w:pStyle w:val="Heading2"/>
        <w:spacing w:before="80" w:after="80"/>
      </w:pPr>
      <w:r>
        <w:rPr>
          <w:sz w:val="24"/>
        </w:rPr>
        <w:t>Практичний зміст</w:t>
      </w:r>
    </w:p>
    <w:p>
      <w:pPr>
        <w:spacing w:after="80" w:line="252" w:lineRule="auto"/>
      </w:pPr>
      <w:r>
        <w:rPr>
          <w:sz w:val="22"/>
        </w:rPr>
        <w:t>Розділіть доказування ідентичності пристрою, наявності недоліку, його причин і підстав обраної вимоги. Наводьте правдиві умови користування; не приховуйте відому механічну чи іншу подію.</w:t>
      </w:r>
    </w:p>
    <w:p>
      <w:pPr>
        <w:pStyle w:val="Heading2"/>
        <w:spacing w:before="80" w:after="80"/>
      </w:pPr>
      <w:r>
        <w:rPr>
          <w:sz w:val="24"/>
        </w:rPr>
        <w:t>Джерела</w:t>
      </w:r>
    </w:p>
    <w:p>
      <w:pPr>
        <w:spacing w:after="80" w:line="252" w:lineRule="auto"/>
      </w:pPr>
      <w:r>
        <w:rPr>
          <w:sz w:val="20"/>
        </w:rPr>
        <w:t>Повний текст рішення: https://youcontrol.com.ua/catalog/court-document/138914357/</w:t>
      </w:r>
    </w:p>
    <w:p>
      <w:pPr>
        <w:spacing w:after="80" w:line="252" w:lineRule="auto"/>
      </w:pPr>
      <w:r>
        <w:rPr>
          <w:sz w:val="20"/>
        </w:rPr>
        <w:t>ЄДРСР: https://reyestr.court.gov.ua/Review/138914357</w:t>
      </w:r>
    </w:p>
    <w:p>
      <w:pPr>
        <w:spacing w:after="80" w:line="252" w:lineRule="auto"/>
      </w:pPr>
      <w:r>
        <w:rPr>
          <w:sz w:val="20"/>
        </w:rPr>
        <w:t>ЦПК України: https://zakon.rada.gov.ua/laws/show/1618-15</w:t>
      </w:r>
    </w:p>
    <w:p>
      <w:pPr>
        <w:spacing w:after="80" w:line="252" w:lineRule="auto"/>
      </w:pPr>
      <w:r>
        <w:rPr>
          <w:sz w:val="20"/>
        </w:rPr>
        <w:t>Закон про судовий збір: https://zakon.rada.gov.ua/laws/show/3674-17</w:t>
      </w:r>
    </w:p>
    <w:p>
      <w:pPr>
        <w:spacing w:after="80" w:line="252" w:lineRule="auto"/>
      </w:pPr>
      <w:r>
        <w:rPr>
          <w:sz w:val="20"/>
        </w:rPr>
        <w:t>ЦК України: https://zakon.rada.gov.ua/laws/show/435-15</w:t>
      </w:r>
    </w:p>
    <w:p>
      <w:pPr>
        <w:spacing w:after="80" w:line="252" w:lineRule="auto"/>
      </w:pPr>
      <w:r>
        <w:rPr>
          <w:sz w:val="20"/>
        </w:rPr>
        <w:t>Закон № 1023-XII про захист прав споживачів: https://zakon.rada.gov.ua/laws/show/1023-12</w:t>
      </w:r>
    </w:p>
    <w:p>
      <w:pPr>
        <w:spacing w:after="80" w:line="252" w:lineRule="auto"/>
      </w:pPr>
      <w:r>
        <w:rPr>
          <w:sz w:val="22"/>
        </w:rPr>
        <w:t>Авторська адаптація AVENT. Результат залежить від власних обставин і доказів.</w:t>
      </w:r>
    </w:p>
    <w:p>
      <w:pPr>
        <w:pageBreakBefore/>
        <w:spacing w:after="80" w:line="252" w:lineRule="auto"/>
      </w:pPr>
      <w:r>
        <w:t>До Дніпровського районного суду міста Києва</w:t>
        <w:br/>
        <w:t>[Актуальна адреса суду]</w:t>
      </w:r>
    </w:p>
    <w:p>
      <w:pPr>
        <w:spacing w:after="80" w:line="252" w:lineRule="auto"/>
      </w:pPr>
      <w:r>
        <w:t>Позивач: [ПІБ / повне найменування]</w:t>
        <w:br/>
        <w:t>Адреса та індекс: [дані]</w:t>
        <w:br/>
        <w:t>РНОКПП / ЄДРПОУ або паспортні дані в передбачених законом випадках: [дані]</w:t>
        <w:br/>
        <w:t>Телефон, електронна пошта: [дані / відсутні]</w:t>
        <w:br/>
        <w:t>Електронний кабінет: [наявний / відсутній]</w:t>
      </w:r>
    </w:p>
    <w:p>
      <w:pPr>
        <w:spacing w:after="80" w:line="252" w:lineRule="auto"/>
      </w:pPr>
      <w:r>
        <w:t>Представник за наявності: [ПІБ, адреса, індекс, контакти, документ про повноваження]</w:t>
        <w:br/>
        <w:t>Електронний кабінет представника: [наявний / відсутній]</w:t>
      </w:r>
    </w:p>
    <w:p>
      <w:pPr>
        <w:spacing w:after="80" w:line="252" w:lineRule="auto"/>
      </w:pPr>
      <w:r>
        <w:t>Інші учасники: [повні дані кожного, процесуальний статус]</w:t>
        <w:br/>
        <w:t>Адреса та індекс, відомі РНОКПП / ЄДРПОУ, контакти: [дані / невідомо]</w:t>
        <w:br/>
        <w:t>Електронний кабінет: [наявний / відсутній / невідомо]</w:t>
        <w:br/>
        <w:t>[Повторити для кожного відповідача і третьої особи]</w:t>
      </w:r>
    </w:p>
    <w:p>
      <w:pPr>
        <w:spacing w:after="80" w:line="252" w:lineRule="auto"/>
      </w:pPr>
      <w:r>
        <w:t>Справа №[номер власної справи]</w:t>
        <w:br/>
        <w:t>Суддя: [ПІБ]</w:t>
      </w:r>
    </w:p>
    <w:p>
      <w:pPr>
        <w:pStyle w:val="Title"/>
        <w:spacing w:after="80" w:line="252" w:lineRule="auto"/>
        <w:jc w:val="center"/>
      </w:pPr>
      <w:r>
        <w:t>Відповідь на відзив продавця про виникнення дефекту телефона після передачі</w:t>
      </w:r>
    </w:p>
    <w:p>
      <w:pPr>
        <w:pStyle w:val="Heading2"/>
        <w:spacing w:after="80" w:line="252" w:lineRule="auto"/>
      </w:pPr>
      <w:r>
        <w:t>Зміст заперечень продавця</w:t>
      </w:r>
    </w:p>
    <w:p>
      <w:pPr>
        <w:spacing w:after="80" w:line="252" w:lineRule="auto"/>
      </w:pPr>
      <w:r>
        <w:t>Відзив отримано [дата]; відповідач посилається на [механічне пошкодження, порушення користування, можливість огляду при купівлі]. Визнаю факти [дата купівлі, гарантія, передача], але не визнаю обставин [конкретні спірні факти]. Ця відповідь стосується причин недоліку та розподілу доказування. Підстави позову і спосіб захисту залишаються [опис].</w:t>
      </w:r>
    </w:p>
    <w:p>
      <w:pPr>
        <w:pStyle w:val="Heading2"/>
        <w:spacing w:after="80" w:line="252" w:lineRule="auto"/>
      </w:pPr>
      <w:r>
        <w:t>Гарантія і тягар доказування причин</w:t>
      </w:r>
    </w:p>
    <w:p>
      <w:pPr>
        <w:spacing w:after="80" w:line="252" w:lineRule="auto"/>
      </w:pPr>
      <w:r>
        <w:t>Гарантійний строк [строк] підтверджує [документ]. Недолік виявлено [дата] та повідомлено продавцю [дата]. Частина друга статті 679 ЦК пов’язує звільнення продавця від гарантійної відповідальності з доказами причин, що виникли після передання товару: порушення правил користування або зберігання, дій третіх осіб, непереборної сили. Саме припущення, що екран міг бути пошкоджений покупцем, не доводить жодної з цих обставин. Належність і повноту доказів відповідача [акт, висновок] оспорюю через [конкретний дефект доказу].</w:t>
      </w:r>
    </w:p>
    <w:p>
      <w:pPr>
        <w:pStyle w:val="Heading2"/>
        <w:spacing w:after="80" w:line="252" w:lineRule="auto"/>
      </w:pPr>
      <w:r>
        <w:t>Що доводжу я</w:t>
      </w:r>
    </w:p>
    <w:p>
      <w:pPr>
        <w:spacing w:after="80" w:line="252" w:lineRule="auto"/>
      </w:pPr>
      <w:r>
        <w:t>Не вважаю гарантію доказом усіх елементів позову. Ідентичність товару підтверджую [IMEI на пристрої, чек, акт]; прояв недоліку — [опис, фото, діагностика]; обраний спосіб захисту — [потрібні законодавчі ознаки і докази]. Зображення містять [номер або послідовність зйомки], оригінальні файли збережені [де]. Якщо істотність дефекту оспорена, прошу оцінити [належний висновок] або вирішити окреме клопотання про експертизу. Питання права не підміняю технічними припущеннями.</w:t>
      </w:r>
    </w:p>
    <w:p>
      <w:pPr>
        <w:pStyle w:val="Heading2"/>
        <w:spacing w:after="80" w:line="252" w:lineRule="auto"/>
      </w:pPr>
      <w:r>
        <w:t>Огляд при купівлі та подальша поведінка</w:t>
      </w:r>
    </w:p>
    <w:p>
      <w:pPr>
        <w:spacing w:after="80" w:line="252" w:lineRule="auto"/>
      </w:pPr>
      <w:r>
        <w:t>Посилання на можливість огляду при купівлі не підтверджує, що конкретний дефект був виявний, оговорений і прийнятий. Фактичні умови передачі: [запакований товар, перевірка, акт, свідок — лише підтверджені факти]. Від купівлі до виявлення товар знаходився [опис], обставин удару, залиття чи втручання [немає / повний правдивий опис]. До перевірки товар пропонував(ла) [дата, документ]. Не заперечую проти належного огляду із фіксацією стану та збереженням об’єкта.</w:t>
      </w:r>
    </w:p>
    <w:p>
      <w:pPr>
        <w:pStyle w:val="Heading2"/>
        <w:spacing w:after="80" w:line="252" w:lineRule="auto"/>
      </w:pPr>
      <w:r>
        <w:t>Строк і витрати</w:t>
      </w:r>
    </w:p>
    <w:p>
      <w:pPr>
        <w:spacing w:after="80" w:line="252" w:lineRule="auto"/>
      </w:pPr>
      <w:r>
        <w:t>Відповідь подано у строк ухвали від [дата] за статтею 179 ЦПК. Нові докази викликані доводами відзиву [якими]; за їх пізнього подання незалежні причини підтверджую [документ]. Щодо заявлених відповідачем витрат [сума] заперечення [конкретний склад, співмірність, докази / немає]. Власний попередній розрахунок [суми].</w:t>
      </w:r>
    </w:p>
    <w:p>
      <w:pPr>
        <w:pStyle w:val="Heading2"/>
        <w:spacing w:after="80" w:line="252" w:lineRule="auto"/>
      </w:pPr>
      <w:r>
        <w:t>Процесуальні відомості</w:t>
      </w:r>
    </w:p>
    <w:p>
      <w:pPr>
        <w:spacing w:after="80" w:line="252" w:lineRule="auto"/>
      </w:pPr>
      <w:r>
        <w:t>Заяву подаю на стадії [стадія] у строк [ухвала / застосовна норма, початок і кінець строку]. Причини неможливості подання раніше, якщо це потрібно: [обставини і докази / не застосовується]. Окремої ставки судового збору за подання цього документа немає. Копії цього документа та додатків направлено іншим учасникам [дата, спосіб, підтвердження] у порядку статті 43 ЦПК. Оригінали письмових доказів знаходяться у [особа, місце]; відповідність поданих копій оригіналам підтверджую. Повноваження представника підтверджує [документ / звертаюся особисто].</w:t>
      </w:r>
    </w:p>
    <w:p>
      <w:pPr>
        <w:pStyle w:val="Heading2"/>
        <w:spacing w:after="80" w:line="252" w:lineRule="auto"/>
      </w:pPr>
      <w:r>
        <w:t>Прошу суд</w:t>
      </w:r>
    </w:p>
    <w:p>
      <w:pPr>
        <w:spacing w:after="80" w:line="252" w:lineRule="auto"/>
      </w:pPr>
      <w:r>
        <w:t>1. Долучити відповідь і належні докази з перевіркою строку їх подання.</w:t>
      </w:r>
    </w:p>
    <w:p>
      <w:pPr>
        <w:spacing w:after="80" w:line="252" w:lineRule="auto"/>
      </w:pPr>
      <w:r>
        <w:t>2. Оцінити доводи про післяпродажне пошкодження з урахуванням частини другої статті 679 ЦК та поданих обома сторонами доказів.</w:t>
      </w:r>
    </w:p>
    <w:p>
      <w:pPr>
        <w:spacing w:after="80" w:line="252" w:lineRule="auto"/>
      </w:pPr>
      <w:r>
        <w:t>3. Вирішити позов у заявленому обсязі; окремі клопотання щодо технічних доказів розглянути у встановленому порядку.</w:t>
      </w:r>
    </w:p>
    <w:p>
      <w:pPr>
        <w:pStyle w:val="Heading2"/>
        <w:spacing w:after="80" w:line="252" w:lineRule="auto"/>
      </w:pPr>
      <w:r>
        <w:t>Додатки</w:t>
      </w:r>
    </w:p>
    <w:p>
      <w:pPr>
        <w:spacing w:after="80" w:line="252" w:lineRule="auto"/>
      </w:pPr>
      <w:r>
        <w:t>1. Відзив та підтвердження вручення.</w:t>
      </w:r>
    </w:p>
    <w:p>
      <w:pPr>
        <w:spacing w:after="80" w:line="252" w:lineRule="auto"/>
      </w:pPr>
      <w:r>
        <w:t>2. Гарантійний документ і докази повідомлення про недолік.</w:t>
      </w:r>
    </w:p>
    <w:p>
      <w:pPr>
        <w:spacing w:after="80" w:line="252" w:lineRule="auto"/>
      </w:pPr>
      <w:r>
        <w:t>3. Ідентифіковані фото, діагностичні акти та документи про надання товару для перевірки.</w:t>
      </w:r>
    </w:p>
    <w:p>
      <w:pPr>
        <w:spacing w:after="80" w:line="252" w:lineRule="auto"/>
      </w:pPr>
      <w:r>
        <w:t>4. За нових доказів — пояснення і підтвердження строку їх отримання.</w:t>
      </w:r>
    </w:p>
    <w:p>
      <w:pPr>
        <w:spacing w:after="80" w:line="252" w:lineRule="auto"/>
      </w:pPr>
      <w:r>
        <w:t>5. Документ про повноваження представника — за наявності.</w:t>
      </w:r>
    </w:p>
    <w:p>
      <w:pPr>
        <w:keepNext/>
        <w:spacing w:after="80" w:line="252" w:lineRule="auto"/>
      </w:pPr>
      <w:r>
        <w:t>6. Підтвердження направлення копій іншим учасникам у застосовному порядку.</w:t>
      </w:r>
    </w:p>
    <w:p>
      <w:pPr>
        <w:keepLines/>
        <w:spacing w:after="80" w:line="252" w:lineRule="auto"/>
      </w:pPr>
      <w:r>
        <w:t>[Дата]</w:t>
        <w:br/>
        <w:t>[Підпис / КЕП] [ПІБ]</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