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Відзив на зустрічний позов щодо дарування частки та прав дитини</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№756/12336/25, рішення від 26.03.2026 (ЄДРСР №135463534). Суд зобов’язав співвласника надати іншому співвласнику ключі від квартири та поштової скриньки. Зустрічну вимогу про недійсність дарування частки через права дітей відхилено: порушення їхніх прав на момент правочину не доведено. У самому тексті рішення зазначено 26.03.2026, повний текст складено 06.04.2026; каталог позначає його датою повного тексту. Реєстрацію дитини та фактичне користування оцінюють за конкретними доказами, без універсального правила про автоматичну недійсність чи чинність дарування.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Стороні договору дарування у вже поданому зустрічному позові щодо прав дитини.</w:t>
      </w:r>
    </w:p>
    <w:p>
      <w:pPr>
        <w:pStyle w:val="Heading2"/>
        <w:spacing w:before="80" w:after="80"/>
      </w:pPr>
      <w:r>
        <w:rPr>
          <w:sz w:val="24"/>
        </w:rPr>
        <w:t>Докази</w:t>
      </w:r>
    </w:p>
    <w:p>
      <w:pPr>
        <w:spacing w:after="80" w:line="252" w:lineRule="auto"/>
      </w:pPr>
      <w:r>
        <w:rPr>
          <w:sz w:val="22"/>
        </w:rPr>
        <w:t>Подайте матеріали на дату правочину. Не покладайтеся лише на іншу реєстрацію дитини чи нотаріальне посвідчення.</w:t>
      </w:r>
    </w:p>
    <w:p>
      <w:pPr>
        <w:pStyle w:val="Heading2"/>
        <w:spacing w:before="80" w:after="80"/>
      </w:pPr>
      <w:r>
        <w:rPr>
          <w:sz w:val="24"/>
        </w:rPr>
        <w:t>Строк</w:t>
      </w:r>
    </w:p>
    <w:p>
      <w:pPr>
        <w:spacing w:after="80" w:line="252" w:lineRule="auto"/>
      </w:pPr>
      <w:r>
        <w:rPr>
          <w:sz w:val="22"/>
        </w:rPr>
        <w:t>Використайте строк для відзиву на зустрічний позов і направте копії всім учасникам.</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https://youcontrol.com.ua/catalog/court-document/135463534/</w:t>
      </w:r>
    </w:p>
    <w:p>
      <w:pPr>
        <w:spacing w:after="80" w:line="252" w:lineRule="auto"/>
      </w:pPr>
      <w:r>
        <w:rPr>
          <w:sz w:val="20"/>
        </w:rPr>
        <w:t>ЄДРСР: https://reyestr.court.gov.ua/Review/135463534</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Закон про охорону дитинства: https://zakon.rada.gov.ua/laws/show/2402-14</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Оболонського районного суду міста Києва</w:t>
        <w:br/>
        <w:t>[Актуальна адреса суду]</w:t>
      </w:r>
    </w:p>
    <w:p>
      <w:pPr>
        <w:spacing w:after="80" w:line="252" w:lineRule="auto"/>
      </w:pPr>
      <w:r>
        <w:t>Відповідач за зустрічним позовом: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Відзив на зустрічний позов щодо дарування частки та прав дитини</w:t>
      </w:r>
    </w:p>
    <w:p>
      <w:pPr>
        <w:pStyle w:val="Heading2"/>
        <w:spacing w:after="80" w:line="252" w:lineRule="auto"/>
      </w:pPr>
      <w:r>
        <w:t>Що оспорюється</w:t>
      </w:r>
    </w:p>
    <w:p>
      <w:pPr>
        <w:spacing w:after="80" w:line="252" w:lineRule="auto"/>
      </w:pPr>
      <w:r>
        <w:t>Зустрічний позивач просить визнати недійсним дарування [реквізити] через [точний довід]. Визнаю [факти], заперечую [порушення, наслідок]. Мій статус [дарувальник / обдаровуваний]. Окремо оцінюю право позивача звернутися у власному інтересі чи представляти дитину; цього не підміняю запереченням самого існування її житлових прав.</w:t>
      </w:r>
    </w:p>
    <w:p>
      <w:pPr>
        <w:pStyle w:val="Heading2"/>
        <w:spacing w:after="80" w:line="252" w:lineRule="auto"/>
      </w:pPr>
      <w:r>
        <w:t>Стан на момент правочину</w:t>
      </w:r>
    </w:p>
    <w:p>
      <w:pPr>
        <w:spacing w:after="80" w:line="252" w:lineRule="auto"/>
      </w:pPr>
      <w:r>
        <w:t>На [дата договору] правовий режим частки [титул], право дитини на об’єкт [підтверджені відомості]. Реєстрація [історичний документ], фактичне проживання [матеріали відповідного часу]. Пізніший акт [дата] не містить [період, джерела], тому заперечення стосується саме його доказової сили. Інша адреса реєстрації сама собою не виключає доведеного права користування спірним житлом.</w:t>
      </w:r>
    </w:p>
    <w:p>
      <w:pPr>
        <w:pStyle w:val="Heading2"/>
        <w:spacing w:after="80" w:line="252" w:lineRule="auto"/>
      </w:pPr>
      <w:r>
        <w:t>Вплив дарування</w:t>
      </w:r>
    </w:p>
    <w:p>
      <w:pPr>
        <w:spacing w:after="80" w:line="252" w:lineRule="auto"/>
      </w:pPr>
      <w:r>
        <w:t>Після договору права користування [збережені / інша фактична ситуація], виселення чи обмеження [доказ]. Відсутність істотного порушення пояснюю [конкретні документи]. Дозвіл органу опіки [дані], правову необхідність перевіряю за обставинами, а не загальною фразою про вільне розпорядження власністю. Гарантія дарувальника в договорі [пункт] не є єдиним доказом відсутності прав третіх осіб.</w:t>
      </w:r>
    </w:p>
    <w:p>
      <w:pPr>
        <w:pStyle w:val="Heading2"/>
        <w:spacing w:after="80" w:line="252" w:lineRule="auto"/>
      </w:pPr>
      <w:r>
        <w:t>Право та розподіл</w:t>
      </w:r>
    </w:p>
    <w:p>
      <w:pPr>
        <w:spacing w:after="80" w:line="252" w:lineRule="auto"/>
      </w:pPr>
      <w:r>
        <w:t>За статтями 203 і 215 ЦК потрібно встановити підставу недійсності на момент договору. Кожен фактичний довід зустрічного позову зіставляю з доказом [перелік]. Заперечення щодо належних сторін, строку та заявленого наслідку [обґрунтування]. Первісний позов про ключі не доводить автоматично чинності дарування; обидві вимоги оцінюються за власними підставами.</w:t>
      </w:r>
    </w:p>
    <w:p>
      <w:pPr>
        <w:pStyle w:val="Heading2"/>
        <w:spacing w:after="80" w:line="252" w:lineRule="auto"/>
      </w:pPr>
      <w:r>
        <w:t>Процесуальні відомості</w:t>
      </w:r>
    </w:p>
    <w:p>
      <w:pPr>
        <w:spacing w:after="80" w:line="252" w:lineRule="auto"/>
      </w:pPr>
      <w:r>
        <w:t>Відзив подаю за статтею 178 ЦПК у строк ухвали [дата вручення, останній день], не менший п’ятнадцяти днів від вручення ухвали про відкриття провадження. Визнані обставини [перелік / немає]. Попередні витрати [склад, суми]; неподані докази та причини [дані / немає]. Окремої ставки збору за відзив немає.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Долучити відзив на зустрічний позов і підтверджені історичні матеріали.</w:t>
      </w:r>
    </w:p>
    <w:p>
      <w:pPr>
        <w:spacing w:after="80" w:line="252" w:lineRule="auto"/>
      </w:pPr>
      <w:r>
        <w:t>2. Відмовити у зустрічній вимозі у частині [межі] через [доведена підстава].</w:t>
      </w:r>
    </w:p>
    <w:p>
      <w:pPr>
        <w:spacing w:after="80" w:line="252" w:lineRule="auto"/>
      </w:pPr>
      <w:r>
        <w:t>3. Розподілити підтверджені витрати за результатом кожної вимоги.</w:t>
      </w:r>
    </w:p>
    <w:p>
      <w:pPr>
        <w:pStyle w:val="Heading2"/>
        <w:spacing w:after="80" w:line="252" w:lineRule="auto"/>
      </w:pPr>
      <w:r>
        <w:t>Додатки</w:t>
      </w:r>
    </w:p>
    <w:p>
      <w:pPr>
        <w:spacing w:after="80" w:line="252" w:lineRule="auto"/>
      </w:pPr>
      <w:r>
        <w:t>1. Договір і титул дарувальника.</w:t>
      </w:r>
    </w:p>
    <w:p>
      <w:pPr>
        <w:spacing w:after="80" w:line="252" w:lineRule="auto"/>
      </w:pPr>
      <w:r>
        <w:t>2. Історичні дані проживання та прав дитини.</w:t>
      </w:r>
    </w:p>
    <w:p>
      <w:pPr>
        <w:spacing w:after="80" w:line="252" w:lineRule="auto"/>
      </w:pPr>
      <w:r>
        <w:t>3. Документи збереження користування й позиція щодо дозволу.</w:t>
      </w:r>
    </w:p>
    <w:p>
      <w:pPr>
        <w:spacing w:after="80" w:line="252" w:lineRule="auto"/>
      </w:pPr>
      <w:r>
        <w:t>4. Документ про повноваження представника — за наявності.</w:t>
      </w:r>
    </w:p>
    <w:p>
      <w:pPr>
        <w:keepNext/>
        <w:spacing w:after="80" w:line="252" w:lineRule="auto"/>
      </w:pPr>
      <w:r>
        <w:t>5.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