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управителя щодо обслуговування аварійної мережі підрядником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№761/37886/25, рішення від 19.02.2026 (ЄДРСР №134303424). Залиття квартири пов’язано з центральним опаленням у горищному приміщенні. Суд поклав відповідальність на підрядника, який обслуговував мережу, та відхилив вимоги до комунального управителя. Позивачу як власнику половини квартири присуджено 66 486,50 грн шкоди та 3 040 грн витрат на оцінку. Загальна оцінена шкода становила 132 973 грн. Повний текст складено 24.02.2026. Власний майновий інтерес і відповідального суб’єкта перевіряють за конкретними правами, договором та доказами.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Управителю у спорі про аварійну мережу, яку на дату події обслуговував підрядник, за документованого розмежування функцій.</w:t>
      </w:r>
    </w:p>
    <w:p>
      <w:pPr>
        <w:pStyle w:val="Heading2"/>
        <w:spacing w:before="80" w:after="80"/>
      </w:pPr>
      <w:r>
        <w:rPr>
          <w:sz w:val="24"/>
        </w:rPr>
        <w:t>Що довести</w:t>
      </w:r>
    </w:p>
    <w:p>
      <w:pPr>
        <w:spacing w:after="80" w:line="252" w:lineRule="auto"/>
      </w:pPr>
      <w:r>
        <w:rPr>
          <w:sz w:val="22"/>
        </w:rPr>
        <w:t>Самого договору недостатньо. Перевірте ділянку, дату та власні збережені обов’язки, додайте докази належного виконання. Власну вину оцінюйте відповідно до статті 1166 ЦК.</w:t>
      </w:r>
    </w:p>
    <w:p>
      <w:pPr>
        <w:pStyle w:val="Heading2"/>
        <w:spacing w:before="80" w:after="80"/>
      </w:pPr>
      <w:r>
        <w:rPr>
          <w:sz w:val="24"/>
        </w:rPr>
        <w:t>Сторони і строк</w:t>
      </w:r>
    </w:p>
    <w:p>
      <w:pPr>
        <w:spacing w:after="80" w:line="252" w:lineRule="auto"/>
      </w:pPr>
      <w:r>
        <w:rPr>
          <w:sz w:val="22"/>
        </w:rPr>
        <w:t>Подайте відзив у строк ухвали з копіями учасникам. Не вимагайте заміни відповідача лише за бажанням чинного відповідача. Питання третьої особи або співвідповідача мають різні механізми.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https://youcontrol.com.ua/catalog/court-document/134303424/</w:t>
      </w:r>
    </w:p>
    <w:p>
      <w:pPr>
        <w:spacing w:after="80" w:line="252" w:lineRule="auto"/>
      </w:pPr>
      <w:r>
        <w:rPr>
          <w:sz w:val="20"/>
        </w:rPr>
        <w:t>ЄДРСР: https://reyestr.court.gov.ua/Review/134303424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управителя щодо обслуговування аварійної мережі підрядником</w:t>
      </w:r>
    </w:p>
    <w:p>
      <w:pPr>
        <w:pStyle w:val="Heading2"/>
        <w:spacing w:after="80" w:line="252" w:lineRule="auto"/>
      </w:pPr>
      <w:r>
        <w:t>Межі позиції</w:t>
      </w:r>
    </w:p>
    <w:p>
      <w:pPr>
        <w:spacing w:after="80" w:line="252" w:lineRule="auto"/>
      </w:pPr>
      <w:r>
        <w:t>Позов [дата] стосується залиття [адреса] через [ділянка] [дата]. Визнаю [конкретні факти], оспорюю [факти, суми]. Право позивача і його частку [позиція]. Основне заперечення: у позові не відділено функції управителя від обсягу робіт підрядника. Не стверджую, що договір підряду за будь-яких умов усуває відповідальність управителя. Кожне заперечення пов’язую з доказом, а не тільки з посадою іншої організації.</w:t>
      </w:r>
    </w:p>
    <w:p>
      <w:pPr>
        <w:pStyle w:val="Heading2"/>
        <w:spacing w:after="80" w:line="252" w:lineRule="auto"/>
      </w:pPr>
      <w:r>
        <w:t>Розмежування функцій</w:t>
      </w:r>
    </w:p>
    <w:p>
      <w:pPr>
        <w:spacing w:after="80" w:line="252" w:lineRule="auto"/>
      </w:pPr>
      <w:r>
        <w:t>Договір [номер, дата, сторони], чинний на дату аварії, передбачав обслуговування [система, точні межі] підрядником. Пункт [номер] зобов’язував його [конкретні роботи]. Передачу підтверджує [акт]. Власні обов’язки управителя [перелік] виконано [дії, дати, докази]. Заявки до події [зміст і реакція / документовано відсутні]. Збережений обов’язок перед співвласниками чи власне порушення не заперечую лише через наявність підрядника.</w:t>
      </w:r>
    </w:p>
    <w:p>
      <w:pPr>
        <w:pStyle w:val="Heading2"/>
        <w:spacing w:after="80" w:line="252" w:lineRule="auto"/>
      </w:pPr>
      <w:r>
        <w:t>Причина і власна вина</w:t>
      </w:r>
    </w:p>
    <w:p>
      <w:pPr>
        <w:spacing w:after="80" w:line="252" w:lineRule="auto"/>
      </w:pPr>
      <w:r>
        <w:t>Акт [реквізити] та інші матеріали [перелік] пов’язують подію з [встановлена причина]. Відсутність причинного зв’язку між моїми діями та шкодою обґрунтовую [доказ]. За частиною другою статті 1166 ЦК надаю докази відсутності власної вини: [огляди, контроль, реагування]. Не підміняю їх загальною фразою про недоведеність позову. Технічне питання про можливість запобігти витоку потребує [наявний висновок / належна процесуальна дія].</w:t>
      </w:r>
    </w:p>
    <w:p>
      <w:pPr>
        <w:pStyle w:val="Heading2"/>
        <w:spacing w:after="80" w:line="252" w:lineRule="auto"/>
      </w:pPr>
      <w:r>
        <w:t>Сума і статус підрядника</w:t>
      </w:r>
    </w:p>
    <w:p>
      <w:pPr>
        <w:spacing w:after="80" w:line="252" w:lineRule="auto"/>
      </w:pPr>
      <w:r>
        <w:t>До оцінки маю конкретні заперечення [пошкодження, знос, площа, частка, арифметика / не оспорюю]. Щодо оцінювальних витрат [оплата, необхідність, розподіл]. Якщо підрядник уже відповідач, визначаю саме межі своєї відповідальності. Якщо не залучений, пояснюю вплив рішення на його права [дані]; не прошу замінити відповідача всупереч статті 51 ЦПК. За потреби питання третьої особи оформлюю окремо за статтею 53; вимогу до співвідповідача заявляє позивач.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ЦПК, не менший п’ятнадцяти днів від вручення ухвали про відкриття провадження: [дати, доказ]. Визнані обставини: [перелік / немає]. Попередній розрахунок власних витрат: [склад, суми]. Неподані докази та причини: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 і докази функцій та виконання власних обов’язків.</w:t>
      </w:r>
    </w:p>
    <w:p>
      <w:pPr>
        <w:spacing w:after="80" w:line="252" w:lineRule="auto"/>
      </w:pPr>
      <w:r>
        <w:t>2. Відмовити у вимогах до [управитель] у частині [точно] з наведених підтверджених підстав.</w:t>
      </w:r>
    </w:p>
    <w:p>
      <w:pPr>
        <w:spacing w:after="80" w:line="252" w:lineRule="auto"/>
      </w:pPr>
      <w:r>
        <w:t>3. Розподілити підтверджені витрати за результатом справи.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Договір і додатки про ділянку, роботи, акт передачі.</w:t>
      </w:r>
    </w:p>
    <w:p>
      <w:pPr>
        <w:spacing w:after="80" w:line="252" w:lineRule="auto"/>
      </w:pPr>
      <w:r>
        <w:t>2. Журнали оглядів, заявок, реагування й контролю.</w:t>
      </w:r>
    </w:p>
    <w:p>
      <w:pPr>
        <w:spacing w:after="80" w:line="252" w:lineRule="auto"/>
      </w:pPr>
      <w:r>
        <w:t>3. Акт аварії, технічні матеріали, заперечення до суми.</w:t>
      </w:r>
    </w:p>
    <w:p>
      <w:pPr>
        <w:spacing w:after="80" w:line="252" w:lineRule="auto"/>
      </w:pPr>
      <w:r>
        <w:t>4. Докази вручення ухвали й власних витрат.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