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власника щодо площі та цільових внесків ОСББ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Власнику, який оспорює конкретний розрахунок ОСББ, період власності або цільові платежі. Не є формою звільнення від боргу через відсутність договору.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№761/30752/25, заочне рішення Шевченківського районного суду міста Києва від 20.05.2026, ЄДРСР №137227791. ОСББ стягувало внески й житлово-комунальні платежі за грудень 2019 — березень 2025. Суд присудив 409 043,85 грн основного боргу, 29 983,35 грн інфляції та 7 591,70 грн річних, окремо збір і правничі витрати. Відзиву власник не подав. Відсутність індивідуального договору не визнана звільненням від належно встановлених платежів. Давність не заявлялася; форма відповідної заяви є окремою адаптацією, а не встановленим результатом цього спору. Перегляд і набрання законної сили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Власнику, який оспорює конкретний розрахунок ОСББ, період власності або цільові платежі. Не є формою звільнення від боргу через відсутність договору.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у строк ухвали й статті 178 ЦПК. Окремого збору за відзив немає; оскарження рішення зборів є окремим зверненням.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цивільну юрисдикцію вимоги про борг власника та статтю 30 ЦПК для спору, пов’язаного з нерухомим майном. Окреме оскарження рішення зборів ОСББ може належати господарській юрисдикції; не додавайте таку вимогу до цивільного відзиву без перевірки. Відокремлюйте внески ОСББ від комунальних послуг і їх спеціальних правил.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https://youcontrol.com.ua/catalog/court-document/137227791/</w:t>
      </w:r>
    </w:p>
    <w:p>
      <w:pPr>
        <w:spacing w:after="80" w:line="252" w:lineRule="auto"/>
      </w:pPr>
      <w:r>
        <w:rPr>
          <w:sz w:val="20"/>
        </w:rPr>
        <w:t>ЄДРСР: https://reyestr.court.gov.ua/Review/137227791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ОСББ: https://zakon.rada.gov.ua/laws/show/2866-14</w:t>
      </w:r>
    </w:p>
    <w:p>
      <w:pPr>
        <w:spacing w:after="80" w:line="252" w:lineRule="auto"/>
      </w:pPr>
      <w:r>
        <w:rPr>
          <w:sz w:val="20"/>
        </w:rPr>
        <w:t>Житлово комунальні послуги: https://zakon.rada.gov.ua/laws/show/2189-19</w:t>
      </w:r>
    </w:p>
    <w:p>
      <w:pPr>
        <w:spacing w:after="80" w:line="252" w:lineRule="auto"/>
      </w:pPr>
      <w:r>
        <w:rPr>
          <w:sz w:val="20"/>
        </w:rPr>
        <w:t>Поновлення перебігу позовної давності: https://zakon.rada.gov.ua/laws/show/4434-20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власника щодо площі та цільових внесків ОСББ</w:t>
      </w:r>
    </w:p>
    <w:p>
      <w:pPr>
        <w:pStyle w:val="Heading2"/>
      </w:pPr>
      <w:r>
        <w:t>Конкретні спірні суми</w:t>
      </w:r>
    </w:p>
    <w:p>
      <w:pPr/>
      <w:r>
        <w:t>Позивач заявляє [сума] грн за [період]. Право власності набув(ла) [дата], площа [значення] і частка [значення] підтверджені [документ]. Оспорюю рядки [місяці, вид внеску], для яких позивач застосував [неправильну площу, ставку, період або базу]. Відсутність окремого договору не заявляю єдиною підставою відмови. Для кожної спірної позиції вказую власну суму й доказ. Платежі попереднього власника [відомості] не представляю власним боргом без установленої підстави правонаступництва.</w:t>
      </w:r>
    </w:p>
    <w:p>
      <w:pPr>
        <w:pStyle w:val="Heading2"/>
      </w:pPr>
      <w:r>
        <w:t>Рішення та зарахування платежів</w:t>
      </w:r>
    </w:p>
    <w:p>
      <w:pPr/>
      <w:r>
        <w:t>Для цільового внеску [назва] позивач посилається на протокол [номер], але [конкретна умова, період, адресат] не підтверджує заявлену суму. Додаю наявний протокол або клопотання про його одержання. Якщо заперечення фактично вимагає визнати недійсним рішення зборів, відповідну окрему вимогу подаю лише в належній юрисдикції; цей відзив сам по собі не скасовує рішення ОСББ. Мої платежі [дати, суми, призначення] підтверджені [квитанції]. Неврахований або двічі віднесений платіж [опис]; контррозрахунок показує залишок за кожною категорією.</w:t>
      </w:r>
    </w:p>
    <w:p>
      <w:pPr>
        <w:pStyle w:val="Heading2"/>
      </w:pPr>
      <w:r>
        <w:t>Наслідки прострочення</w:t>
      </w:r>
    </w:p>
    <w:p>
      <w:pPr/>
      <w:r>
        <w:t>Інфляційні втрати й річні [перевірений результат] обчислено з належної дати виконання і з урахуванням платежів. Спеціальне обмеження для житлово-комунальних послуг [норма, категорія, територія або інші умови] застосовую лише за доказів його поширення; не вважаю будь-який цільовий внесок автоматично тотожним комунальному рахунку. Відсутність проживання в квартирі сама собою не знімає витрат утримання спільного майна. Доводи й докази подаю за статтею 178 ЦПК; питання позовної давності за його наявності обґрунтовую окремим часовим розрахунком.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відзив і контррозрахунок.</w:t>
      </w:r>
    </w:p>
    <w:p>
      <w:pPr/>
      <w:r>
        <w:t>2. Відмовити у стягненні [сума] грн непідтверджених або неправильно обчислених платежів і нарахувань.</w:t>
      </w:r>
    </w:p>
    <w:p>
      <w:pPr/>
      <w:r>
        <w:t>3. Оцінити всі підтверджені оплати, період власності та належну базу внесків.</w:t>
      </w:r>
    </w:p>
    <w:p>
      <w:pPr>
        <w:pStyle w:val="Heading2"/>
      </w:pPr>
      <w:r>
        <w:t>Додатки</w:t>
      </w:r>
    </w:p>
    <w:p>
      <w:pPr/>
      <w:r>
        <w:t>1. Документ площі, частки та дати набуття власності.</w:t>
      </w:r>
    </w:p>
    <w:p>
      <w:pPr/>
      <w:r>
        <w:t>2. Наявні рішення зборів та кошториси.</w:t>
      </w:r>
    </w:p>
    <w:p>
      <w:pPr/>
      <w:r>
        <w:t>3. Первинні платежі та контррозрахунок по категоріях.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