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забудовника щодо відсутності прав на спірну квартиру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Забудовнику, якому ставлять у провину відчуження квартири, що не належала до його договірної частки, або посилаються на заперечений базовий договір.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№760/13678/21, рішення Солом’янського районного суду міста Києва від 19.03.2026 (ЄДРСР №134993858). Покупець оплатив відступлення вимоги на квартиру, але суд установив розрив ланцюжка прав: зазначений продавець первісних прав не володів цією квартирою і не укладав базового договору. У визнанні власності, скасуванні реєстрації та витребуванні квартири відмовлено. Суд указав на можливість вимагати відшкодування шкоди від відповідальних осіб; такого відшкодування цим рішенням не присуджено. Подальший перегляд і набрання законної сили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Забудовнику, якому ставлять у провину відчуження квартири, що не належала до його договірної частки, або посилаються на заперечений базовий договір.</w:t>
      </w:r>
    </w:p>
    <w:p>
      <w:pPr>
        <w:pStyle w:val="Heading2"/>
        <w:spacing w:before="80" w:after="80"/>
      </w:pPr>
      <w:r>
        <w:rPr>
          <w:sz w:val="24"/>
        </w:rPr>
        <w:t>Строк та судовий збір</w:t>
      </w:r>
    </w:p>
    <w:p>
      <w:pPr>
        <w:spacing w:after="80" w:line="252" w:lineRule="auto"/>
      </w:pPr>
      <w:r>
        <w:rPr>
          <w:sz w:val="22"/>
        </w:rPr>
        <w:t>Строк відзиву визначає ухвала за статтею 178 ЦПК. За відзив окремого збору немає; докази подайте у встановлений строк.</w:t>
      </w:r>
    </w:p>
    <w:p>
      <w:pPr>
        <w:pStyle w:val="Heading2"/>
        <w:spacing w:before="80" w:after="80"/>
      </w:pPr>
      <w:r>
        <w:rPr>
          <w:sz w:val="24"/>
        </w:rPr>
        <w:t>Перевірка прав і підсудності</w:t>
      </w:r>
    </w:p>
    <w:p>
      <w:pPr>
        <w:spacing w:after="80" w:line="252" w:lineRule="auto"/>
      </w:pPr>
      <w:r>
        <w:rPr>
          <w:sz w:val="22"/>
        </w:rPr>
        <w:t>Дослідіть весь ланцюжок прав на конкретну квартиру: первісний розподіл площ, договори, умови переходу прав, платежі та реєстрацію. Сплата посереднику не усуває відсутності прав у його попередника. Для вимог, що виникають з приводу нерухомого майна, перевірте виключну підсудність за статтею 30 ЦПК; для грошового відшкодування окремо визначте підсудність за власними вимогами й обставинами.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https://youcontrol.com.ua/catalog/court-document/134993858/</w:t>
      </w:r>
    </w:p>
    <w:p>
      <w:pPr>
        <w:spacing w:after="80" w:line="252" w:lineRule="auto"/>
      </w:pPr>
      <w:r>
        <w:rPr>
          <w:sz w:val="20"/>
        </w:rPr>
        <w:t>ЄДРСР: https://reyestr.court.gov.ua/Review/134993858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Солом’янського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Відзив забудовника щодо відсутності прав на спірну квартиру</w:t>
      </w:r>
    </w:p>
    <w:p>
      <w:pPr>
        <w:pStyle w:val="Heading2"/>
      </w:pPr>
      <w:r>
        <w:t>Спірний ланцюжок та межі заперечення</w:t>
      </w:r>
    </w:p>
    <w:p>
      <w:pPr/>
      <w:r>
        <w:t>Позивач пов’язує набуття квартири [опис об’єкта] з договором між [особи] від [дата] та наступним відступленням від [дата]. Заперечую набуття від нашого товариства прав на цю квартиру, оскільки [документ розподілу, позиція, частка іншої сторони] не відносив її до нашої частки. Указую конкретне зіставлення проектного й фактичного номерів, секції, поверху та площі [таблиця]. Не заперечую права покупця лише через зміну адреси або нумерації; істотним є встановлення тотожності об’єкта й правоволодільця.</w:t>
      </w:r>
    </w:p>
    <w:p>
      <w:pPr>
        <w:pStyle w:val="Heading2"/>
      </w:pPr>
      <w:r>
        <w:t>Укладення договору та підписання</w:t>
      </w:r>
    </w:p>
    <w:p>
      <w:pPr/>
      <w:r>
        <w:t>Спірний базовий договір [у товаристві не укладався / укладений з іншим змістом — точна позиція]. Це підтверджують [реєстр договорів, лист, документи про повноваження, оригінал]. На дату [дата] уповноваженим підписантом був [посада, документ], тоді як у спірній копії зазначено [дані]. Ураховую можливість наступного схвалення за статтею 241 ЦК; поведінка товариства щодо саме цього договору [опис і докази]. Якщо є висновок експерта, він стосується [точна назва, дата, оригінал конкретного документа], а не іншої угоди.</w:t>
      </w:r>
    </w:p>
    <w:p>
      <w:pPr>
        <w:pStyle w:val="Heading2"/>
      </w:pPr>
      <w:r>
        <w:t>Правові наслідки та отримання коштів</w:t>
      </w:r>
    </w:p>
    <w:p>
      <w:pPr/>
      <w:r>
        <w:t>Презумпція правомірності статті 204 ЦК застосовується до вчиненого правочину; вона не доводить сама по собі факт укладення запереченого договору. Відсутність окремого рішення про недійсність не усуває потреби довести волевиявлення та передачу прав. Кошти за цей об’єкт наше товариство [не отримувало / отримувало у такому обсязі й на такій підставі], підтвердження [документ]. Саме проведення будівництва не встановлює обов’язку передати кожну квартиру будь-якому покупцю посередника. Заперечення проти віндикації чи визнання права обґрунтовую відсутністю конкретного набутого права позивача, не стверджуючи без доказів учинення ним або іншими особами злочину.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[дата]. Строк для подання визначено [ухвала, дата вручення, останній день / застосовна норма]. Нові докази і причини їх пізнього отримання [опис та підтвердження / не застосовується]. Попередній розрахунок витрат [збір, правнича допомога, інші витрати та суми]. Копії направлено іншим учасникам [дата, спосіб, підтвердження] відповідно до статті 43 ЦПК. Оригінали доказів знаходяться [володілець, місце]; відповідність копій оригіналам засвідчую. Відомості про електронні кабінети подано відповідно до статті 14 ЦПК; для юридичних осіб України та адвокатів реєстрація обов’язкова.</w:t>
      </w:r>
    </w:p>
    <w:p>
      <w:pPr>
        <w:pStyle w:val="Heading2"/>
      </w:pPr>
      <w:r>
        <w:t>Прошу суд</w:t>
      </w:r>
    </w:p>
    <w:p>
      <w:pPr/>
      <w:r>
        <w:t>1. Прийняти відзив та докази розподілу прав на конкретний об’єкт.</w:t>
      </w:r>
    </w:p>
    <w:p>
      <w:pPr/>
      <w:r>
        <w:t>2. Відмовити у вимогах до [товариство] в частині [вимоги], оскільки [неукладеність запереченої угоди / відсутність передачі прав від товариства].</w:t>
      </w:r>
    </w:p>
    <w:p>
      <w:pPr/>
      <w:r>
        <w:t>3. Дослідити оригінали спірного договору й документів розподілу; відповідні окремі клопотання розглянути у встановленому порядку.</w:t>
      </w:r>
    </w:p>
    <w:p>
      <w:pPr>
        <w:pStyle w:val="Heading2"/>
      </w:pPr>
      <w:r>
        <w:t>Додатки</w:t>
      </w:r>
    </w:p>
    <w:p>
      <w:pPr/>
      <w:r>
        <w:t>1. Договір будівництва та додаток розподілу із конкретною квартирою.</w:t>
      </w:r>
    </w:p>
    <w:p>
      <w:pPr/>
      <w:r>
        <w:t>2. Документи про підписантів, реєстр договорів і листування щодо спірної угоди.</w:t>
      </w:r>
    </w:p>
    <w:p>
      <w:pPr/>
      <w:r>
        <w:t>3. Докази платежів або відсутності платежу за спірним договором у належному обліку.</w:t>
      </w:r>
    </w:p>
    <w:p>
      <w:pPr/>
      <w:r>
        <w:t>4. Експертний висновок щодо саме спірного документа за наявності.</w:t>
      </w:r>
    </w:p>
    <w:p>
      <w:pPr/>
      <w:r>
        <w:t>5. Документ про повноваження представника за наявності.</w:t>
      </w:r>
    </w:p>
    <w:p>
      <w:pPr>
        <w:keepNext/>
      </w:pPr>
      <w:r>
        <w:t>6. Підтвердження направлення копій іншим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