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уточнення найменування органу Міністерства юстиції у справі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Учаснику справи, де орган Мін’юсту лише перейменований із збереженням тієї самої юридичної особи. Для нового правонаступника або іншого відповідача потрібна інша заява.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№757/32530/24 ц, рішення Печерського районного суду міста Києва від 21.07.2026, повний текст 05.08.2026, ЄДРСР №138754785. Стягувач вимагав усі 31 900 грн, спрямовані до бюджету як виконавчий збір і штраф. Суд відмовив: установлене раніше порушення черговості не означало, що вся сума належала стягувачу; законну частку збору й повноваження виконавця щодо розподілу потрібно врахувати. Джерело описує попереднє касаційне направлення для вирішення питання відкриття провадження, а не підтвердження права на всю суму. У різних місцях рішення різняться номери виконавчого провадження; у формах використовуйте лише власні документи. Подальший перегляд цього рішення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Учаснику справи, де орган Мін’юсту лише перейменований із збереженням тієї самої юридичної особи. Для нового правонаступника або іншого відповідача потрібна інша заява.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після отримання перевірених актуальних реквізитів. Збір за уточнення найменування не справляється. Перевірте, чи насправді не потрібні статті 51 або 55 ЦПК.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Форми стосуються наявної цивільної справи про кошти в бюджеті. Самостійне оскарження дій виконавця під час виконання адміністративного рішення потребує перевірки адміністративної юрисдикції та спеціального порядку; це не замінюється зверненням до Печерського суду автоматично. Відокремлюйте незаконний розподіл, обов’язок його виправити та власну кондикційну вимогу.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https://youcontrol.com.ua/catalog/court-document/138754785/</w:t>
      </w:r>
    </w:p>
    <w:p>
      <w:pPr>
        <w:spacing w:after="80" w:line="252" w:lineRule="auto"/>
      </w:pPr>
      <w:r>
        <w:rPr>
          <w:sz w:val="20"/>
        </w:rPr>
        <w:t>ЄДРСР: https://reyestr.court.gov.ua/Review/138754785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Виконавче провадження: https://zakon.rada.gov.ua/laws/show/1404-19</w:t>
      </w:r>
    </w:p>
    <w:p>
      <w:pPr>
        <w:spacing w:after="80" w:line="252" w:lineRule="auto"/>
      </w:pPr>
      <w:r>
        <w:rPr>
          <w:sz w:val="20"/>
        </w:rPr>
        <w:t>Порядок бюджетних повернень: https://zakon.rada.gov.ua/laws/show/z1650-13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Заява про уточнення найменування органу Міністерства юстиції у справі</w:t>
      </w:r>
    </w:p>
    <w:p>
      <w:pPr>
        <w:pStyle w:val="Heading2"/>
      </w:pPr>
      <w:r>
        <w:t>Зміна назви того самого учасника</w:t>
      </w:r>
    </w:p>
    <w:p>
      <w:pPr/>
      <w:r>
        <w:t>У справі відповідач зазначений як [попередня повна назва]. За документом [акт, дата, номер] його чинне найменування — [нова повна назва]. Ідентифікаційний код до й після зміни [однаковий код], юридична особа зберігається, що підтверджує актуальний витяг [дата]. Прошу уточнити саме реквізит уже залученого учасника. Зміну вивіски, адресу або функції не представляю достатнім доказом тотожності особи без перевірки реєстраційних і нормативних матеріалів.</w:t>
      </w:r>
    </w:p>
    <w:p>
      <w:pPr>
        <w:pStyle w:val="Heading2"/>
      </w:pPr>
      <w:r>
        <w:t>Відмежування від правонаступництва</w:t>
      </w:r>
    </w:p>
    <w:p>
      <w:pPr/>
      <w:r>
        <w:t>Документи свідчать про [перейменування без припинення], а не припинення цієї юридичної особи з передачею прав іншій. Якщо коди різні або акт передбачає реорганізацію й правонаступника, належить окремо застосувати статтю 55 ЦПК із підтвердженням переходу відповідних прав чи обов’язків; проста зміна назви в цій формі не замінює правонаступництва. Якщо первісно обрано зовсім неналежного відповідача, потрібні умови статті 51 ЦПК, а не виправлення реквізитів. Предмет і фактичні підстави позову про кошти [опис] цією заявою не змінюються.</w:t>
      </w:r>
    </w:p>
    <w:p>
      <w:pPr>
        <w:pStyle w:val="Heading2"/>
      </w:pPr>
      <w:r>
        <w:t>Контакти і повідомлення</w:t>
      </w:r>
    </w:p>
    <w:p>
      <w:pPr/>
      <w:r>
        <w:t>Чинні адреса, індекс, відомі контакти та електронний кабінет [актуальні дані, джерело]. Повноваження представника органу [документ за наявності] не припускаються автоматично зі старого найменування. Копії заяви та доказів направляю вже залученому відповідачу й іншим учасникам [дата, спосіб]. Прошу надалі використовувати перевірені реквізити в процесуальних документах та повідомленнях, зі збереженням зв’язку з попереднім найменуванням у матеріалах. Ця заява не означає виправлення тексту вже ухваленого остаточного рішення чи виконавчого листа: для них передбачені власні процедури. Потреба тут полягає в точній ідентифікації наявної сторони під час розгляду.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Уточнити чинне найменування вже залученого відповідача [старе — нове] за доведеної тотожності юридичної особи.</w:t>
      </w:r>
    </w:p>
    <w:p>
      <w:pPr/>
      <w:r>
        <w:t>2. Використовувати наведені актуальні реквізити для подальших повідомлень і процесуальних документів.</w:t>
      </w:r>
    </w:p>
    <w:p>
      <w:pPr/>
      <w:r>
        <w:t>3. Долучити реєстраційні та нормативні докази перейменування.</w:t>
      </w:r>
    </w:p>
    <w:p>
      <w:pPr>
        <w:pStyle w:val="Heading2"/>
      </w:pPr>
      <w:r>
        <w:t>Додатки</w:t>
      </w:r>
    </w:p>
    <w:p>
      <w:pPr/>
      <w:r>
        <w:t>1. Акт перейменування та актуальний витяг із незмінним кодом.</w:t>
      </w:r>
    </w:p>
    <w:p>
      <w:pPr/>
      <w:r>
        <w:t>2. Документ актуальної адреси й реквізитів повідомлення.</w:t>
      </w:r>
    </w:p>
    <w:p>
      <w:pPr/>
      <w:r>
        <w:t>3. Підтвердження тотожності учасника, за потреби документи представника.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