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80" w:after="80"/>
      </w:pPr>
      <w:r>
        <w:rPr>
          <w:sz w:val="32"/>
        </w:rPr>
        <w:t>Заява про відстрочення виконання рішення про виселення для переїзду</w:t>
      </w:r>
    </w:p>
    <w:p>
      <w:pPr>
        <w:pStyle w:val="Heading1"/>
        <w:spacing w:before="80" w:after="80"/>
      </w:pPr>
      <w:r>
        <w:rPr>
          <w:sz w:val="24"/>
        </w:rPr>
        <w:t>Пояснення до форми AVENT</w:t>
      </w:r>
    </w:p>
    <w:p>
      <w:pPr>
        <w:spacing w:after="80" w:line="252" w:lineRule="auto"/>
      </w:pPr>
      <w:r>
        <w:rPr>
          <w:sz w:val="22"/>
        </w:rPr>
        <w:t>Цю пояснювальну частину не подавайте як текст звернення до суду. Форма починається після пояснень з окремої сторінки. Заповніть власні дані й вилучіть підказки. Редакція 09.10.2026.</w:t>
      </w:r>
    </w:p>
    <w:p>
      <w:pPr>
        <w:pStyle w:val="Heading2"/>
        <w:spacing w:before="80" w:after="80"/>
      </w:pPr>
      <w:r>
        <w:rPr>
          <w:sz w:val="24"/>
        </w:rPr>
        <w:t>Реальна практика</w:t>
      </w:r>
    </w:p>
    <w:p>
      <w:pPr>
        <w:spacing w:after="80" w:line="252" w:lineRule="auto"/>
      </w:pPr>
      <w:r>
        <w:rPr>
          <w:sz w:val="22"/>
        </w:rPr>
        <w:t>Справа №758/3534/26, рішення від 28.05.2026 (ЄДРСР №137766386). Заочним рішенням мешканця виселено з квартири спеціального комунального житлового фонду після спору про строк договору та вимог звільнити житло. Наймачем за договором була громадська організація, яка залучена третьою особою. Суд згадує мовчазне поновлення договору, але далі виходить із його припинення; ці мотиви потрібно перевіряти за послідовністю продовжень і заперечень у власній справі. Рішення не встановлює загального правила виселення з будь-якого житла. Подальший перегляд, набрання законної сили та виконання окремо не перевірені.</w:t>
      </w:r>
    </w:p>
    <w:p>
      <w:pPr>
        <w:pStyle w:val="Heading2"/>
        <w:spacing w:before="80" w:after="80"/>
      </w:pPr>
      <w:r>
        <w:rPr>
          <w:sz w:val="24"/>
        </w:rPr>
        <w:t>Кому підходить</w:t>
      </w:r>
    </w:p>
    <w:p>
      <w:pPr>
        <w:spacing w:after="80" w:line="252" w:lineRule="auto"/>
      </w:pPr>
      <w:r>
        <w:rPr>
          <w:sz w:val="22"/>
        </w:rPr>
        <w:t>Боржнику за рішенням про виселення, який доводить тимчасову істотну перешкоду виконанню.</w:t>
      </w:r>
    </w:p>
    <w:p>
      <w:pPr>
        <w:pStyle w:val="Heading2"/>
        <w:spacing w:before="80" w:after="80"/>
      </w:pPr>
      <w:r>
        <w:rPr>
          <w:sz w:val="24"/>
        </w:rPr>
        <w:t>Обмеження</w:t>
      </w:r>
    </w:p>
    <w:p>
      <w:pPr>
        <w:spacing w:after="80" w:line="252" w:lineRule="auto"/>
      </w:pPr>
      <w:r>
        <w:rPr>
          <w:sz w:val="22"/>
        </w:rPr>
        <w:t>Максимальна межа за статтею 435 становить рік від дня рішення. Відстрочка не є переглядом чи скасуванням виселення.</w:t>
      </w:r>
    </w:p>
    <w:p>
      <w:pPr>
        <w:pStyle w:val="Heading2"/>
        <w:spacing w:before="80" w:after="80"/>
      </w:pPr>
      <w:r>
        <w:rPr>
          <w:sz w:val="24"/>
        </w:rPr>
        <w:t>Подання</w:t>
      </w:r>
    </w:p>
    <w:p>
      <w:pPr>
        <w:spacing w:after="80" w:line="252" w:lineRule="auto"/>
      </w:pPr>
      <w:r>
        <w:rPr>
          <w:sz w:val="22"/>
        </w:rPr>
        <w:t>Зверніться до суду першої інстанції, додайте план переїзду та направте копії учасникам.</w:t>
      </w:r>
    </w:p>
    <w:p>
      <w:pPr>
        <w:pStyle w:val="Heading2"/>
        <w:spacing w:before="80" w:after="80"/>
      </w:pPr>
      <w:r>
        <w:rPr>
          <w:sz w:val="24"/>
        </w:rPr>
        <w:t>Джерела</w:t>
      </w:r>
    </w:p>
    <w:p>
      <w:pPr>
        <w:spacing w:after="80" w:line="252" w:lineRule="auto"/>
      </w:pPr>
      <w:r>
        <w:rPr>
          <w:sz w:val="20"/>
        </w:rPr>
        <w:t>Повний текст рішення: https://youcontrol.com.ua/catalog/court-document/137766386/</w:t>
      </w:r>
    </w:p>
    <w:p>
      <w:pPr>
        <w:spacing w:after="80" w:line="252" w:lineRule="auto"/>
      </w:pPr>
      <w:r>
        <w:rPr>
          <w:sz w:val="20"/>
        </w:rPr>
        <w:t>ЄДРСР: https://reyestr.court.gov.ua/Review/137766386</w:t>
      </w:r>
    </w:p>
    <w:p>
      <w:pPr>
        <w:spacing w:after="80" w:line="252" w:lineRule="auto"/>
      </w:pPr>
      <w:r>
        <w:rPr>
          <w:sz w:val="20"/>
        </w:rPr>
        <w:t>ЦПК України: https://zakon.rada.gov.ua/laws/show/1618-15</w:t>
      </w:r>
    </w:p>
    <w:p>
      <w:pPr>
        <w:spacing w:after="80" w:line="252" w:lineRule="auto"/>
      </w:pPr>
      <w:r>
        <w:rPr>
          <w:sz w:val="20"/>
        </w:rPr>
        <w:t>Закон про судовий збір: https://zakon.rada.gov.ua/laws/show/3674-17</w:t>
      </w:r>
    </w:p>
    <w:p>
      <w:pPr>
        <w:spacing w:after="80" w:line="252" w:lineRule="auto"/>
      </w:pPr>
      <w:r>
        <w:rPr>
          <w:sz w:val="20"/>
        </w:rPr>
        <w:t>ЦК України: https://zakon.rada.gov.ua/laws/show/435-15</w:t>
      </w:r>
    </w:p>
    <w:p>
      <w:pPr>
        <w:spacing w:after="80" w:line="252" w:lineRule="auto"/>
      </w:pPr>
      <w:r>
        <w:rPr>
          <w:sz w:val="20"/>
        </w:rPr>
        <w:t>Конвенція про захист прав людини: https://zakon.rada.gov.ua/laws/show/995_004</w:t>
      </w:r>
    </w:p>
    <w:p>
      <w:pPr>
        <w:spacing w:after="80" w:line="252" w:lineRule="auto"/>
      </w:pPr>
      <w:r>
        <w:rPr>
          <w:sz w:val="22"/>
        </w:rPr>
        <w:t>Авторська адаптація AVENT. Результат залежить від власних обставин і доказів.</w:t>
      </w:r>
    </w:p>
    <w:p>
      <w:pPr>
        <w:pageBreakBefore/>
        <w:spacing w:after="80" w:line="252" w:lineRule="auto"/>
      </w:pPr>
      <w:r>
        <w:t>До Подільського районного суду міста Києва</w:t>
        <w:br/>
        <w:t>[Актуальна адреса суду]</w:t>
      </w:r>
    </w:p>
    <w:p>
      <w:pPr>
        <w:spacing w:after="80" w:line="252" w:lineRule="auto"/>
      </w:pPr>
      <w:r>
        <w:t>Боржник: [ПІБ / повне найменування]</w:t>
        <w:br/>
        <w:t>Адреса та індекс: [дані]</w:t>
        <w:br/>
        <w:t>РНОКПП / ЄДРПОУ або паспортні дані в передбачених законом випадках: [дані]</w:t>
        <w:br/>
        <w:t>Телефон, електронна пошта: [дані / відсутні]</w:t>
        <w:br/>
        <w:t>Електронний кабінет: [наявний / відсутній]</w:t>
      </w:r>
    </w:p>
    <w:p>
      <w:pPr>
        <w:spacing w:after="80" w:line="252" w:lineRule="auto"/>
      </w:pPr>
      <w:r>
        <w:t>Представник за наявності: [ПІБ, адреса, індекс, контакти, документ про повноваження]</w:t>
        <w:br/>
        <w:t>Електронний кабінет представника: [наявний / відсутній]</w:t>
      </w:r>
    </w:p>
    <w:p>
      <w:pPr>
        <w:spacing w:after="80" w:line="252" w:lineRule="auto"/>
      </w:pPr>
      <w:r>
        <w:t>Інші учасники: [повні дані кожного, процесуальний статус]</w:t>
        <w:br/>
        <w:t>Адреса та індекс, відомі РНОКПП / ЄДРПОУ, контакти: [дані / невідомо]</w:t>
        <w:br/>
        <w:t>Електронний кабінет: [наявний / відсутній / невідомо]</w:t>
        <w:br/>
        <w:t>[Повторити для кожного відповідача і третьої особи]</w:t>
      </w:r>
    </w:p>
    <w:p>
      <w:pPr>
        <w:spacing w:after="80" w:line="252" w:lineRule="auto"/>
      </w:pPr>
      <w:r>
        <w:t>Справа №[номер власної справи]</w:t>
        <w:br/>
        <w:t>Суддя: [ПІБ]</w:t>
      </w:r>
    </w:p>
    <w:p>
      <w:pPr>
        <w:pStyle w:val="Title"/>
        <w:spacing w:after="80" w:line="252" w:lineRule="auto"/>
        <w:jc w:val="center"/>
      </w:pPr>
      <w:r>
        <w:t>Заява про відстрочення виконання рішення про виселення для переїзду</w:t>
      </w:r>
    </w:p>
    <w:p>
      <w:pPr>
        <w:pStyle w:val="Heading2"/>
        <w:spacing w:after="80" w:line="252" w:lineRule="auto"/>
      </w:pPr>
      <w:r>
        <w:t>Рішення та виконання</w:t>
      </w:r>
    </w:p>
    <w:p>
      <w:pPr>
        <w:spacing w:after="80" w:line="252" w:lineRule="auto"/>
      </w:pPr>
      <w:r>
        <w:t>Рішенням [суд, дата, номер] зобов’язано виселити мене з [об’єкт]. Виконавчий документ [реквізити], провадження [номер, виконавець, відкриття]. Стан виконання [фактичні дії]. Цією заявою не оскаржую висновок про виселення і не прошу безстрокового користування. Звертаюся до суду першої інстанції, який розглянув справу.</w:t>
      </w:r>
    </w:p>
    <w:p>
      <w:pPr>
        <w:pStyle w:val="Heading2"/>
        <w:spacing w:after="80" w:line="252" w:lineRule="auto"/>
      </w:pPr>
      <w:r>
        <w:t>Перешкода і докази</w:t>
      </w:r>
    </w:p>
    <w:p>
      <w:pPr>
        <w:spacing w:after="80" w:line="252" w:lineRule="auto"/>
      </w:pPr>
      <w:r>
        <w:t>Негайне виконання істотно ускладнене через [конкретна обставина: тяжке захворювання / надзвичайна подія / інші доведені умови]. Дати, тривалість і вплив на переїзд підтверджують [документи]. Вжиті заходи [пошук житла, домовленість, транспорт]. Самої незгоди з рішенням чи загальної нестачі коштів не називаю достатньою підставою.</w:t>
      </w:r>
    </w:p>
    <w:p>
      <w:pPr>
        <w:pStyle w:val="Heading2"/>
        <w:spacing w:after="80" w:line="252" w:lineRule="auto"/>
      </w:pPr>
      <w:r>
        <w:t>Реальний строк</w:t>
      </w:r>
    </w:p>
    <w:p>
      <w:pPr>
        <w:spacing w:after="80" w:line="252" w:lineRule="auto"/>
      </w:pPr>
      <w:r>
        <w:t>Прошу відстрочити до [дата], оскільки [план дій і перевірені строки]. За частиною п’ятою статті 435 ЦПК остання дата не виходить за один рік від ухвалення рішення [обчислення]. Строк не рахую від відкриття виконавчого провадження чи набрання рішенням законної сили. Якщо річна межа минула, не використовую цю форму для обходу обмеження.</w:t>
      </w:r>
    </w:p>
    <w:p>
      <w:pPr>
        <w:pStyle w:val="Heading2"/>
        <w:spacing w:after="80" w:line="252" w:lineRule="auto"/>
      </w:pPr>
      <w:r>
        <w:t>Баланс сторін</w:t>
      </w:r>
    </w:p>
    <w:p>
      <w:pPr>
        <w:spacing w:after="80" w:line="252" w:lineRule="auto"/>
      </w:pPr>
      <w:r>
        <w:t>Враховую право власника на виконання та потреби спеціального фонду. Мій внесок у виникнення спору [обставини], користування в період відстрочки [умови, якщо правомірні], добровільне звільнення [план]. Медичні й сімейні обставини підтверджую в необхідному обсязі. Подання заяви саме собою не зупиняє виконавчих дій; питання вирішується судом.</w:t>
      </w:r>
    </w:p>
    <w:p>
      <w:pPr>
        <w:pStyle w:val="Heading2"/>
        <w:spacing w:after="80" w:line="252" w:lineRule="auto"/>
      </w:pPr>
      <w:r>
        <w:t>Процесуальні відомості</w:t>
      </w:r>
    </w:p>
    <w:p>
      <w:pPr>
        <w:spacing w:after="80" w:line="252" w:lineRule="auto"/>
      </w:pPr>
      <w:r>
        <w:t>Заява подається за статтею 435 ЦПК до суду першої інстанції. Обґрунтування строку й істотної перешкоди наведено в тексті. Окремої ставки збору за цю заяву немає. Копії цього документа та додатків направлено іншим учасникам [дата, спосіб, підтвердження] у порядку статті 43 ЦПК. Оригінали письмових доказів знаходяться у [особа, місце]; відповідність поданих копій оригіналам підтверджую. Повноваження представника підтверджує [документ / звертаюся особисто].</w:t>
      </w:r>
    </w:p>
    <w:p>
      <w:pPr>
        <w:pStyle w:val="Heading2"/>
        <w:spacing w:after="80" w:line="252" w:lineRule="auto"/>
      </w:pPr>
      <w:r>
        <w:t>Прошу суд</w:t>
      </w:r>
    </w:p>
    <w:p>
      <w:pPr>
        <w:spacing w:after="80" w:line="252" w:lineRule="auto"/>
      </w:pPr>
      <w:r>
        <w:t>1. Відстрочити виконання рішення від [дата] про виселення до [конкретна дата в межах року].</w:t>
      </w:r>
    </w:p>
    <w:p>
      <w:pPr>
        <w:spacing w:after="80" w:line="252" w:lineRule="auto"/>
      </w:pPr>
      <w:r>
        <w:t>2. Розглянути заяву з повідомленням учасників за статтею 435 ЦПК.</w:t>
      </w:r>
    </w:p>
    <w:p>
      <w:pPr>
        <w:spacing w:after="80" w:line="252" w:lineRule="auto"/>
      </w:pPr>
      <w:r>
        <w:t>3. У необхідному випадку направити ухвалу виконавцю [дані].</w:t>
      </w:r>
    </w:p>
    <w:p>
      <w:pPr>
        <w:pStyle w:val="Heading2"/>
        <w:spacing w:after="80" w:line="252" w:lineRule="auto"/>
      </w:pPr>
      <w:r>
        <w:t>Додатки</w:t>
      </w:r>
    </w:p>
    <w:p>
      <w:pPr>
        <w:spacing w:after="80" w:line="252" w:lineRule="auto"/>
      </w:pPr>
      <w:r>
        <w:t>1. Рішення, виконавчий документ та постанова про відкриття.</w:t>
      </w:r>
    </w:p>
    <w:p>
      <w:pPr>
        <w:spacing w:after="80" w:line="252" w:lineRule="auto"/>
      </w:pPr>
      <w:r>
        <w:t>2. Документи конкретної перешкоди і її тривалості.</w:t>
      </w:r>
    </w:p>
    <w:p>
      <w:pPr>
        <w:spacing w:after="80" w:line="252" w:lineRule="auto"/>
      </w:pPr>
      <w:r>
        <w:t>3. План переїзду та докази реально доступної альтернативи.</w:t>
      </w:r>
    </w:p>
    <w:p>
      <w:pPr>
        <w:spacing w:after="80" w:line="252" w:lineRule="auto"/>
      </w:pPr>
      <w:r>
        <w:t>4. Документ про повноваження представника — за наявності.</w:t>
      </w:r>
    </w:p>
    <w:p>
      <w:pPr>
        <w:keepNext/>
        <w:spacing w:after="80" w:line="252" w:lineRule="auto"/>
      </w:pPr>
      <w:r>
        <w:t>5. Підтвердження направлення копій іншим учасникам у застосовному порядку.</w:t>
      </w:r>
    </w:p>
    <w:p>
      <w:pPr>
        <w:keepLines/>
        <w:spacing w:after="80" w:line="252" w:lineRule="auto"/>
      </w:pPr>
      <w:r>
        <w:t>[Дата]</w:t>
        <w:br/>
        <w:t>[Підпис / КЕП] [ПІБ]</w:t>
      </w:r>
    </w:p>
    <w:sectPr w:rsidR="00FC693F" w:rsidRPr="0006063C" w:rsidSect="00034616">
      <w:footerReference w:type="default" r:id="rId9"/>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64" w:lineRule="auto"/>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20" w:line="264" w:lineRule="auto"/>
      <w:outlineLvl w:val="1"/>
    </w:pPr>
    <w:rPr>
      <w:rFonts w:asciiTheme="majorHAnsi" w:eastAsiaTheme="majorEastAsia" w:hAnsiTheme="majorHAnsi" w:cstheme="majorBidi" w:ascii="Times New Roman" w:hAnsi="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120" w:line="264" w:lineRule="auto"/>
      <w:outlineLvl w:val="2"/>
    </w:pPr>
    <w:rPr>
      <w:rFonts w:asciiTheme="majorHAnsi" w:eastAsiaTheme="majorEastAsia" w:hAnsiTheme="majorHAnsi" w:cstheme="majorBidi" w:ascii="Times New Roman" w:hAnsi="Times New Roman"/>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64" w:lineRule="auto"/>
      <w:contextualSpacing/>
    </w:pPr>
    <w:rPr>
      <w:rFonts w:asciiTheme="majorHAnsi" w:eastAsiaTheme="majorEastAsia" w:hAnsiTheme="majorHAnsi" w:cstheme="majorBidi" w:ascii="Times New Roman" w:hAnsi="Times New Roman"/>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