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забезпечення доказів стану дерева перед його видаленням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№752/29964/25, рішення від 25.06.2026 (ЄДРСР №137699047). Власнику автомобіля відмовлено у компенсації пошкодження гілкою дерева: матеріали не дозволили надійно встановити місце і час події, стан дерева та причинний зв’язок із порушенням обов’язків відповідача. Сам оцінений ремонт не доводить відповідального за подію. За частиною другою статті 1166 ЦК відсутність власної вини доводить заподіювач; водночас позивач доводить шкоду, протиправність і причинний зв’язок. Це потрібно відрізняти від загальних висловів про тягар доказування у конкретному акті.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Потерпілому чи учаснику справи з реальним підтвердженим ризиком втрати конкретного дерева як доказу.</w:t>
      </w:r>
    </w:p>
    <w:p>
      <w:pPr>
        <w:pStyle w:val="Heading2"/>
        <w:spacing w:before="80" w:after="80"/>
      </w:pPr>
      <w:r>
        <w:rPr>
          <w:sz w:val="24"/>
        </w:rPr>
        <w:t>Безпека</w:t>
      </w:r>
    </w:p>
    <w:p>
      <w:pPr>
        <w:spacing w:after="80" w:line="252" w:lineRule="auto"/>
      </w:pPr>
      <w:r>
        <w:rPr>
          <w:sz w:val="22"/>
        </w:rPr>
        <w:t>Просіть огляд і фіксацію, які не створюють небезпеки й не блокують аварійні роботи без підстав.</w:t>
      </w:r>
    </w:p>
    <w:p>
      <w:pPr>
        <w:pStyle w:val="Heading2"/>
        <w:spacing w:before="80" w:after="80"/>
      </w:pPr>
      <w:r>
        <w:rPr>
          <w:sz w:val="24"/>
        </w:rPr>
        <w:t>До позову</w:t>
      </w:r>
    </w:p>
    <w:p>
      <w:pPr>
        <w:spacing w:after="80" w:line="252" w:lineRule="auto"/>
      </w:pPr>
      <w:r>
        <w:rPr>
          <w:sz w:val="22"/>
        </w:rPr>
        <w:t>Перевірте суд за місцем доказу, збір і обов’язок подати позов протягом десяти днів після ухвали.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https://youcontrol.com.ua/catalog/court-document/137699047/</w:t>
      </w:r>
    </w:p>
    <w:p>
      <w:pPr>
        <w:spacing w:after="80" w:line="252" w:lineRule="auto"/>
      </w:pPr>
      <w:r>
        <w:rPr>
          <w:sz w:val="20"/>
        </w:rPr>
        <w:t>ЄДРСР: https://reyestr.court.gov.ua/Review/137699047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Правила утримання зелених насаджень: https://zakon.rada.gov.ua/laws/show/z0880-06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Голосіївського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Заявник: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Стадія: [до подання позову / справа № та суддя, якщо справу відкрито]</w:t>
      </w:r>
    </w:p>
    <w:p>
      <w:pPr>
        <w:pStyle w:val="Title"/>
        <w:spacing w:after="80" w:line="252" w:lineRule="auto"/>
        <w:jc w:val="center"/>
      </w:pPr>
      <w:r>
        <w:t>Заява про забезпечення доказів стану дерева перед його видаленням</w:t>
      </w:r>
    </w:p>
    <w:p>
      <w:pPr>
        <w:pStyle w:val="Heading2"/>
        <w:spacing w:after="80" w:line="252" w:lineRule="auto"/>
      </w:pPr>
      <w:r>
        <w:t>Майбутній або чинний спір</w:t>
      </w:r>
    </w:p>
    <w:p>
      <w:pPr>
        <w:spacing w:after="80" w:line="252" w:lineRule="auto"/>
      </w:pPr>
      <w:r>
        <w:t>Мій автомобіль [ідентифікація] пошкоджено [дата, місце] гілкою дерева [точка на схемі, фото]. Планую позов або вже беру участь у справі [номер] щодо [відомі сторони й предмет]. Стан конкретного дерева потрібен для доказування [наявний дефект, походження гілки, інша технічна обставина]. Правову вину не прошу встановити самим оглядом.</w:t>
      </w:r>
    </w:p>
    <w:p>
      <w:pPr>
        <w:pStyle w:val="Heading2"/>
        <w:spacing w:after="80" w:line="252" w:lineRule="auto"/>
      </w:pPr>
      <w:r>
        <w:t>Реальний ризик втрати</w:t>
      </w:r>
    </w:p>
    <w:p>
      <w:pPr>
        <w:spacing w:after="80" w:line="252" w:lineRule="auto"/>
      </w:pPr>
      <w:r>
        <w:t>Видалення дерева чи частин заплановано [дата] за [лист, наряд, інший підтверджений документ]. Після цього дослідження [конкретної ознаки] стане неможливим або істотно утрудненим. Загальне припущення про можливу обрізку не називаю достатнім. Володар доказу [утримувач, повні дані, адреса], місце [точні орієнтири].</w:t>
      </w:r>
    </w:p>
    <w:p>
      <w:pPr>
        <w:pStyle w:val="Heading2"/>
        <w:spacing w:after="80" w:line="252" w:lineRule="auto"/>
      </w:pPr>
      <w:r>
        <w:t>Співмірний спосіб</w:t>
      </w:r>
    </w:p>
    <w:p>
      <w:pPr>
        <w:spacing w:after="80" w:line="252" w:lineRule="auto"/>
      </w:pPr>
      <w:r>
        <w:t>За статтею 116 ЦПК прошу невідкладний огляд за місцем із фіксацією дерева, гілки та необхідних ознак [перелік], за доведеної потреби із залученням спеціаліста [питання]. Не прошу надовго залишати аварійне дерево небезпечним для людей. Якщо потрібне збереження зразка, пропоную визначений безпечний спосіб [узгоджені дані], без самовільного вилучення чи блокування робіт.</w:t>
      </w:r>
    </w:p>
    <w:p>
      <w:pPr>
        <w:pStyle w:val="Heading2"/>
        <w:spacing w:after="80" w:line="252" w:lineRule="auto"/>
      </w:pPr>
      <w:r>
        <w:t>Суд і процедура</w:t>
      </w:r>
    </w:p>
    <w:p>
      <w:pPr>
        <w:spacing w:after="80" w:line="252" w:lineRule="auto"/>
      </w:pPr>
      <w:r>
        <w:t>До позову звертаюся до суду за місцем доказу або відповідної дії; після позову — до суду, який розглядає справу [підстава підсудності]. Відомих інших учасників зазначено [повні дані / обґрунтовано невідомі]. Збір сплачено за чинною ставкою [розрахунок, квитанція / доведена пільга]. За забезпечення до позову зобов’язаний(а) подати позов протягом десяти днів від ухвали за статтею 116; наслідки неподання та можливі збитки враховую.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Заява за статтями 116–118 ЦПК. Стадія [до позову / номер справи], належна підсудність і ризик втрати наведено вище. Судовий збір [чинна ставка, обчислення, квитанція / документована пільга]. Дані всіх відомих осіб зазначено у вступі.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Забезпечити визначений доказ невідкладним оглядом конкретного дерева та його частин у зазначеному місці й обсязі.</w:t>
      </w:r>
    </w:p>
    <w:p>
      <w:pPr>
        <w:spacing w:after="80" w:line="252" w:lineRule="auto"/>
      </w:pPr>
      <w:r>
        <w:t>2. За доведеної технічної потреби залучити спеціаліста для фіксації визначених ознак без вирішення питань права.</w:t>
      </w:r>
    </w:p>
    <w:p>
      <w:pPr>
        <w:spacing w:after="80" w:line="252" w:lineRule="auto"/>
      </w:pPr>
      <w:r>
        <w:t>3. Долучити протокол і належні матеріали огляду у порядку статей 116–118 ЦПК.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Схема, прив’язані фото та докази події.</w:t>
      </w:r>
    </w:p>
    <w:p>
      <w:pPr>
        <w:spacing w:after="80" w:line="252" w:lineRule="auto"/>
      </w:pPr>
      <w:r>
        <w:t>2. Документ запланованого видалення й ризику втрати ознак.</w:t>
      </w:r>
    </w:p>
    <w:p>
      <w:pPr>
        <w:spacing w:after="80" w:line="252" w:lineRule="auto"/>
      </w:pPr>
      <w:r>
        <w:t>3. Відомості про утримувача, інших відомих осіб і підсудність.</w:t>
      </w:r>
    </w:p>
    <w:p>
      <w:pPr>
        <w:spacing w:after="80" w:line="252" w:lineRule="auto"/>
      </w:pPr>
      <w:r>
        <w:t>4. Квитанція збору або підтверджена пільга, повноваження.</w:t>
      </w:r>
    </w:p>
    <w:p>
      <w:pPr>
        <w:spacing w:after="80" w:line="252" w:lineRule="auto"/>
      </w:pPr>
      <w:r>
        <w:t>5.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6.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