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заборону реєстраційних дій щодо інвестиційної квартири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Позивачу з обґрунтованим речовим чи інвестиційним правом на визначену квартиру та документованим ризиком її перереєстрації. Форма для вже поданого позову.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№760/13678/21, рішення Солом’янського районного суду міста Києва від 19.03.2026 (ЄДРСР №134993858). Покупець оплатив відступлення вимоги на квартиру, але суд установив розрив ланцюжка прав: зазначений продавець первісних прав не володів цією квартирою і не укладав базового договору. У визнанні власності, скасуванні реєстрації та витребуванні квартири відмовлено. Суд указав на можливість вимагати відшкодування шкоди від відповідальних осіб; такого відшкодування цим рішенням не присуджено.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 з обґрунтованим речовим чи інвестиційним правом на визначену квартиру та документованим ризиком її перереєстрації. Форма для вже поданого позову.</w:t>
      </w:r>
    </w:p>
    <w:p>
      <w:pPr>
        <w:pStyle w:val="Heading2"/>
        <w:spacing w:before="80" w:after="80"/>
      </w:pPr>
      <w:r>
        <w:rPr>
          <w:sz w:val="24"/>
        </w:rPr>
        <w:t>Строк та судовий збір</w:t>
      </w:r>
    </w:p>
    <w:p>
      <w:pPr>
        <w:spacing w:after="80" w:line="252" w:lineRule="auto"/>
      </w:pPr>
      <w:r>
        <w:rPr>
          <w:sz w:val="22"/>
        </w:rPr>
        <w:t>Перевірте вимоги статей 149–154 ЦПК і власний збір за заяву про забезпечення. Для звернення до подання позову потрібні додаткові умови та своєчасне подання позову.</w:t>
      </w:r>
    </w:p>
    <w:p>
      <w:pPr>
        <w:pStyle w:val="Heading2"/>
        <w:spacing w:before="80" w:after="80"/>
      </w:pPr>
      <w:r>
        <w:rPr>
          <w:sz w:val="24"/>
        </w:rPr>
        <w:t>Перевірка прав і підсудності</w:t>
      </w:r>
    </w:p>
    <w:p>
      <w:pPr>
        <w:spacing w:after="80" w:line="252" w:lineRule="auto"/>
      </w:pPr>
      <w:r>
        <w:rPr>
          <w:sz w:val="22"/>
        </w:rPr>
        <w:t>Дослідіть весь ланцюжок прав на конкретну квартиру: первісний розподіл площ, договори, умови переходу прав, платежі та реєстрацію. Сплата посереднику не усуває відсутності прав у його попередника. Для вимог, що виникають з приводу нерухомого майна, перевірте виключну підсудність за статтею 30 ЦПК; для грошового відшкодування окремо визначте підсудність за власними вимогами й обставинами.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https://youcontrol.com.ua/catalog/court-document/134993858/</w:t>
      </w:r>
    </w:p>
    <w:p>
      <w:pPr>
        <w:spacing w:after="80" w:line="252" w:lineRule="auto"/>
      </w:pPr>
      <w:r>
        <w:rPr>
          <w:sz w:val="20"/>
        </w:rPr>
        <w:t>ЄДРСР: https://reyestr.court.gov.ua/Review/134993858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Солом’янського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Заява про заборону реєстраційних дій щодо інвестиційної квартири</w:t>
      </w:r>
    </w:p>
    <w:p>
      <w:pPr>
        <w:pStyle w:val="Heading2"/>
      </w:pPr>
      <w:r>
        <w:t>Позов об’єкт та зв’язок заходу</w:t>
      </w:r>
    </w:p>
    <w:p>
      <w:pPr/>
      <w:r>
        <w:t>У справі заявлено вимогу [визнання конкретного права / витребування визначеного об’єкта — власний належний предмет], щодо квартири [адреса, реєстраційний номер, секція, поверх, площа, проектний номер за потреби]. Моє ймовірне право підтверджує [неперервний ланцюжок договорів, акт розподілу, виконання умов переходу], копії додаю. Сам факт перерахування коштів посереднику не використовую як достатнє підтвердження права на будь-яку квартиру. Прошу заборонити лише реєстраційні дії, які можуть змінити власника або обтяження саме цього об’єкта, у межах обґрунтованої потреби захисту.</w:t>
      </w:r>
    </w:p>
    <w:p>
      <w:pPr>
        <w:pStyle w:val="Heading2"/>
      </w:pPr>
      <w:r>
        <w:t>Конкретний ризик та співмірність</w:t>
      </w:r>
    </w:p>
    <w:p>
      <w:pPr/>
      <w:r>
        <w:t>Ризик подальшого відчуження підтверджують [витяг з хронологією реєстрацій, оголошення з ідентифікацією, лист або інший належний документ, дата]. Від попереднього стану до [дата] відбулося [конкретні підтверджені зміни]. У разі наступної передачі квартири можливе [ускладнення ефективного захисту, зміна учасників, інша конкретна обставина]. За статтями 149–150 ЦПК пов’язую цей ризик із власною вимогою. Заборона не означає передачі квартири позивачу, виселення мешканців чи припинення звичайного користування; її обсяг [точне формулювання]. Наслідки для власника і третіх осіб оцінюю [пояснення], надмірних обмежень щодо інших квартир не прошу.</w:t>
      </w:r>
    </w:p>
    <w:p>
      <w:pPr>
        <w:pStyle w:val="Heading2"/>
      </w:pPr>
      <w:r>
        <w:t>Ідентифікація виконання та зустрічне забезпечення</w:t>
      </w:r>
    </w:p>
    <w:p>
      <w:pPr/>
      <w:r>
        <w:t>Державна реєстрація об’єкта [актуальні реквізити]. Якщо проектний і фактичний номери відрізняються, тотожність підтверджує [технічний паспорт, документ зміни адреси, дані введення в експлуатацію]. Формулювання заборони повинно давати змогу виконати ухвалу щодо єдиного об’єкта. Пропозиція зустрічного забезпечення відповідно до статей 151 і 154 ЦПК: [сума, спосіб / мотивоване пояснення], можливі збитки відповідача [оцінка]. Заява не спрямована на вирішення спору наперед. Підстави, які унеможливлюють або потребують обов’язкового зустрічного забезпечення, повідомляю правдиво [відомості за власною ситуацією].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[дата]. Строк для подання визначено [ухвала, дата вручення, останній день / застосовна норма]. Нові докази і причини їх пізнього отримання [опис та підтвердження / не застосовується]. Попередній розрахунок витрат [збір, правнича допомога, інші витрати та суми]. Копії направлено іншим учасникам [дата, спосіб, підтвердження] відповідно до статті 43 ЦПК. Оригінали доказів знаходяться [володілець, місце]; відповідність копій оригіналам засвідчую. Відомості про електронні кабінети подано відповідно до статті 14 ЦПК; для юридичних осіб України та адвокатів реєстрація обов’язкова.</w:t>
      </w:r>
    </w:p>
    <w:p>
      <w:pPr>
        <w:pStyle w:val="Heading2"/>
      </w:pPr>
      <w:r>
        <w:t>Прошу суд</w:t>
      </w:r>
    </w:p>
    <w:p>
      <w:pPr/>
      <w:r>
        <w:t>1. Заборонити [належні суб’єкти державної реєстрації] вчиняти [точний перелік дій] щодо квартири [адреса, реєстраційний номер та інші достатні реквізити] на час застосування заходу забезпечення.</w:t>
      </w:r>
    </w:p>
    <w:p>
      <w:pPr/>
      <w:r>
        <w:t>2. Визначити порядок зустрічного забезпечення з урахуванням поданої пропозиції та обставин статті 154 ЦПК.</w:t>
      </w:r>
    </w:p>
    <w:p>
      <w:pPr/>
      <w:r>
        <w:t>3. Направити ухвалу для виконання у встановленому законом порядку.</w:t>
      </w:r>
    </w:p>
    <w:p>
      <w:pPr>
        <w:pStyle w:val="Heading2"/>
      </w:pPr>
      <w:r>
        <w:t>Додатки</w:t>
      </w:r>
    </w:p>
    <w:p>
      <w:pPr/>
      <w:r>
        <w:t>1. Позов або документи щодо предмета вже відкритої справи.</w:t>
      </w:r>
    </w:p>
    <w:p>
      <w:pPr/>
      <w:r>
        <w:t>2. Ланцюжок прав, документи виконання умов переходу та ідентифікація квартири.</w:t>
      </w:r>
    </w:p>
    <w:p>
      <w:pPr/>
      <w:r>
        <w:t>3. Актуальні реєстраційні відомості та докази конкретного ризику відчуження.</w:t>
      </w:r>
    </w:p>
    <w:p>
      <w:pPr/>
      <w:r>
        <w:t>4. Документи щодо зустрічного забезпечення і можливих збитків.</w:t>
      </w:r>
    </w:p>
    <w:p>
      <w:pPr/>
      <w:r>
        <w:t>5. Документ про судовий збір за заяву або конкретна законна пільга.</w:t>
      </w:r>
    </w:p>
    <w:p>
      <w:pPr/>
      <w:r>
        <w:t>6. Документ про повноваження представника за наявності.</w:t>
      </w:r>
    </w:p>
    <w:p>
      <w:pPr>
        <w:keepNext/>
      </w:pPr>
      <w:r>
        <w:t>7. Підтвердження направлення копій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