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зміну вимоги з повернення коштів на гарантійний ремонт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№761/43976/25, рішення від 05.05.2026 (ЄДРСР №138297764). Суд розірвав договір купівлі парової системи та присудив повернення 21 659 грн. Висновок сервісу про невиявлений дефект оцінено разом із протіканням води, інструкцією й фактом зберігання товару у продавця. Повний текст зазначає дату 15.07.2026 та містить описки у хронології. Додаткові міркування суду щодо статті 9 Закону не слід розуміти як безумовне право повернути використаний якісний товар. Форма відділяє ремонт від розірвання договору.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Споживачу, який вчасно обирає ремонт замість повернення грошей на тій самій фактичній підставі.</w:t>
      </w:r>
    </w:p>
    <w:p>
      <w:pPr>
        <w:pStyle w:val="Heading2"/>
        <w:spacing w:before="80" w:after="80"/>
      </w:pPr>
      <w:r>
        <w:rPr>
          <w:sz w:val="24"/>
        </w:rPr>
        <w:t>Строк</w:t>
      </w:r>
    </w:p>
    <w:p>
      <w:pPr>
        <w:spacing w:after="80" w:line="252" w:lineRule="auto"/>
      </w:pPr>
      <w:r>
        <w:rPr>
          <w:sz w:val="22"/>
        </w:rPr>
        <w:t>Перевірте стадію та п’ятиденну межу спрощеного провадження за статтею 49 ЦПК.</w:t>
      </w:r>
    </w:p>
    <w:p>
      <w:pPr>
        <w:pStyle w:val="Heading2"/>
        <w:spacing w:before="80" w:after="80"/>
      </w:pPr>
      <w:r>
        <w:rPr>
          <w:sz w:val="24"/>
        </w:rPr>
        <w:t>Предмет і підстава</w:t>
      </w:r>
    </w:p>
    <w:p>
      <w:pPr>
        <w:spacing w:after="80" w:line="252" w:lineRule="auto"/>
      </w:pPr>
      <w:r>
        <w:rPr>
          <w:sz w:val="22"/>
        </w:rPr>
        <w:t>Не додавайте одночасно нову фактичну підставу. Заява повинна чітко визначати вимогу, що замінює попередню.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https://youcontrol.com.ua/catalog/court-document/138297764/</w:t>
      </w:r>
    </w:p>
    <w:p>
      <w:pPr>
        <w:spacing w:after="80" w:line="252" w:lineRule="auto"/>
      </w:pPr>
      <w:r>
        <w:rPr>
          <w:sz w:val="20"/>
        </w:rPr>
        <w:t>ЄДРСР: https://reyestr.court.gov.ua/Review/138297764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захист прав споживачів: https://zakon.rada.gov.ua/laws/show/1023-12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Заява про зміну вимоги з повернення коштів на гарантійний ремонт</w:t>
      </w:r>
    </w:p>
    <w:p>
      <w:pPr>
        <w:pStyle w:val="Heading2"/>
        <w:spacing w:after="80" w:line="252" w:lineRule="auto"/>
      </w:pPr>
      <w:r>
        <w:t>Початковий позов</w:t>
      </w:r>
    </w:p>
    <w:p>
      <w:pPr>
        <w:spacing w:after="80" w:line="252" w:lineRule="auto"/>
      </w:pPr>
      <w:r>
        <w:t>У справі [номер] первісно просив(ла) розірвати купівлю приладу [ідентифікація] і повернути [сума]. Тепер обираю безоплатне усунення недоліку [точний прояв] замість цієї вимоги. Фактичну підставу — купівлю, гарантію, той самий дефект і звернення — зберігаю. Зміст первісних фактів [перелік]; новий самостійний інцидент не додаю під виглядом зміни предмета.</w:t>
      </w:r>
    </w:p>
    <w:p>
      <w:pPr>
        <w:pStyle w:val="Heading2"/>
        <w:spacing w:after="80" w:line="252" w:lineRule="auto"/>
      </w:pPr>
      <w:r>
        <w:t>Нова точна вимога</w:t>
      </w:r>
    </w:p>
    <w:p>
      <w:pPr>
        <w:spacing w:after="80" w:line="252" w:lineRule="auto"/>
      </w:pPr>
      <w:r>
        <w:t>Прошу зобов’язати [відповідач] безоплатно усунути [визначені недоліки] виробу [модель, номер] у [обґрунтований строк]. Не залишаю одночасно несумісні альтернативи повернення грошей і ремонту, якщо не обґрунтований інший допустимий спосіб. Доступність виробу для ремонту [у кого, акт, готовність передати] підтверджена [документ].</w:t>
      </w:r>
    </w:p>
    <w:p>
      <w:pPr>
        <w:pStyle w:val="Heading2"/>
        <w:spacing w:after="80" w:line="252" w:lineRule="auto"/>
      </w:pPr>
      <w:r>
        <w:t>Правова та фактична межа</w:t>
      </w:r>
    </w:p>
    <w:p>
      <w:pPr>
        <w:spacing w:after="80" w:line="252" w:lineRule="auto"/>
      </w:pPr>
      <w:r>
        <w:t>Підстава ремонту — стаття 8 Закону № 1023-XII. Для нього не підміняю доказ звичайного дефекту недоведеним твердженням про істотність, потрібну для розірвання. Строк початкової ремонтної вимоги та погоджений інший строк [дані / ремонт раніше не вимагався]. Власний спір оцінюю за фактичним зверненням; новою заявою не створюю неправдиву минулу вимогу продавцю.</w:t>
      </w:r>
    </w:p>
    <w:p>
      <w:pPr>
        <w:pStyle w:val="Heading2"/>
        <w:spacing w:after="80" w:line="252" w:lineRule="auto"/>
      </w:pPr>
      <w:r>
        <w:t>Допустимість зміни</w:t>
      </w:r>
    </w:p>
    <w:p>
      <w:pPr>
        <w:spacing w:after="80" w:line="252" w:lineRule="auto"/>
      </w:pPr>
      <w:r>
        <w:t>За статтею 49 ЦПК зміну предмета подаю до закінчення підготовчого засідання, а у спрощеному провадженні не пізніше п’яти днів до першого засідання [фактичні дати]. Підстави не змінюю одночасно з предметом. Копії заяви й матеріалів направлено всім учасникам [доказ]. Збір або чинну споживчу пільгу перевірено для нової вимоги [дані]. Повернення раніше сплаченого збору не відбувається автоматично.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Заява про зміну предмета за статтею 49 ЦПК подається у наведену допустиму стадію. Надання копій підтверджено додатками. Збір або споживча пільга за новою вимогою [підстава, докази].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Прийняти зміну предмета позову на наведений обов’язок гарантійного ремонту в межах статті 49 ЦПК.</w:t>
      </w:r>
    </w:p>
    <w:p>
      <w:pPr>
        <w:spacing w:after="80" w:line="252" w:lineRule="auto"/>
      </w:pPr>
      <w:r>
        <w:t>2. Подальший розгляд вести щодо визначеної нової вимоги замість первісної вимоги розірвання й повернення коштів.</w:t>
      </w:r>
    </w:p>
    <w:p>
      <w:pPr>
        <w:spacing w:after="80" w:line="252" w:lineRule="auto"/>
      </w:pPr>
      <w:r>
        <w:t>3. Розподілити підтверджені судові витрати за результатом розгляду.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Первісний позов і документ стадії провадження.</w:t>
      </w:r>
    </w:p>
    <w:p>
      <w:pPr>
        <w:spacing w:after="80" w:line="252" w:lineRule="auto"/>
      </w:pPr>
      <w:r>
        <w:t>2. Повний текст нової вимоги та матеріали доступності приладу.</w:t>
      </w:r>
    </w:p>
    <w:p>
      <w:pPr>
        <w:spacing w:after="80" w:line="252" w:lineRule="auto"/>
      </w:pPr>
      <w:r>
        <w:t>3. Докази направлення копій учасникам.</w:t>
      </w:r>
    </w:p>
    <w:p>
      <w:pPr>
        <w:spacing w:after="80" w:line="252" w:lineRule="auto"/>
      </w:pPr>
      <w:r>
        <w:t>4. Матеріали збору або підтвердженої споживчої пільги.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