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80" w:after="80"/>
      </w:pPr>
      <w:r>
        <w:rPr>
          <w:sz w:val="32"/>
        </w:rPr>
        <w:t>Заперечення проти ототожнення програмної та рахункової помилки пенсії</w:t>
      </w:r>
    </w:p>
    <w:p>
      <w:pPr>
        <w:pStyle w:val="Heading1"/>
        <w:spacing w:before="80" w:after="80"/>
      </w:pPr>
      <w:r>
        <w:rPr>
          <w:sz w:val="24"/>
        </w:rPr>
        <w:t>Пояснення до форми AVENT</w:t>
      </w:r>
    </w:p>
    <w:p>
      <w:pPr>
        <w:spacing w:after="80" w:line="252" w:lineRule="auto"/>
      </w:pPr>
      <w:r>
        <w:rPr>
          <w:sz w:val="22"/>
        </w:rPr>
        <w:t>Цю пояснювальну частину не подавайте як текст звернення до суду. Форма починається після пояснень з окремої сторінки. Заповніть власні дані й вилучіть підказки. Редакція 09.10.2026.</w:t>
      </w:r>
    </w:p>
    <w:p>
      <w:pPr>
        <w:spacing w:after="80" w:line="252" w:lineRule="auto"/>
      </w:pPr>
      <w:r>
        <w:rPr>
          <w:sz w:val="22"/>
        </w:rPr>
        <w:t>Пенсіонеру після відповіді ПФУ з новим посиланням на програмну причину, яку без достатньої деталізації названо рахунковою.</w:t>
      </w:r>
    </w:p>
    <w:p>
      <w:pPr>
        <w:pStyle w:val="Heading2"/>
        <w:spacing w:before="80" w:after="80"/>
      </w:pPr>
      <w:r>
        <w:rPr>
          <w:sz w:val="24"/>
        </w:rPr>
        <w:t>Реальна практика</w:t>
      </w:r>
    </w:p>
    <w:p>
      <w:pPr>
        <w:spacing w:after="80" w:line="252" w:lineRule="auto"/>
      </w:pPr>
      <w:r>
        <w:rPr>
          <w:sz w:val="22"/>
        </w:rPr>
        <w:t>Справа №752/2957/25, рішення Голосіївського районного суду міста Києва від 16.01.2026, ЄДРСР №133346950. ПФУ вимагав повернути 8 752,32 грн переплати через помилково застосовану 9 відсоткову доплату. Суд відмовив: не встановив доведеної рахункової помилки, недобросовісності пенсіонерки або недостовірних даних страхувальника. Відзиву не було, розгляд письмовий. У тексті різняться роки заяви та межі періоду; переносити їх у власний розрахунок не можна. Форми не скасовують адміністративне рішення про розмір пенсії та не замінюють відповідний адміністративний позов. Подальший перегляд не перевірений.</w:t>
      </w:r>
    </w:p>
    <w:p>
      <w:pPr>
        <w:pStyle w:val="Heading2"/>
        <w:spacing w:before="80" w:after="80"/>
      </w:pPr>
      <w:r>
        <w:rPr>
          <w:sz w:val="24"/>
        </w:rPr>
        <w:t>Кому підходить</w:t>
      </w:r>
    </w:p>
    <w:p>
      <w:pPr>
        <w:spacing w:after="80" w:line="252" w:lineRule="auto"/>
      </w:pPr>
      <w:r>
        <w:rPr>
          <w:sz w:val="22"/>
        </w:rPr>
        <w:t>Пенсіонеру після відповіді ПФУ з новим посиланням на програмну причину, яку без достатньої деталізації названо рахунковою.</w:t>
      </w:r>
    </w:p>
    <w:p>
      <w:pPr>
        <w:pStyle w:val="Heading2"/>
        <w:spacing w:before="80" w:after="80"/>
      </w:pPr>
      <w:r>
        <w:rPr>
          <w:sz w:val="24"/>
        </w:rPr>
        <w:t>Строк і судовий збір</w:t>
      </w:r>
    </w:p>
    <w:p>
      <w:pPr>
        <w:spacing w:after="80" w:line="252" w:lineRule="auto"/>
      </w:pPr>
      <w:r>
        <w:rPr>
          <w:sz w:val="22"/>
        </w:rPr>
        <w:t>Подайте у строк заперечень за статтею 180 ЦПК. Окремий збір не передбачений.</w:t>
      </w:r>
    </w:p>
    <w:p>
      <w:pPr>
        <w:pStyle w:val="Heading2"/>
        <w:spacing w:before="80" w:after="80"/>
      </w:pPr>
      <w:r>
        <w:rPr>
          <w:sz w:val="24"/>
        </w:rPr>
        <w:t>Підсудність та підготовка</w:t>
      </w:r>
    </w:p>
    <w:p>
      <w:pPr>
        <w:spacing w:after="80" w:line="252" w:lineRule="auto"/>
      </w:pPr>
      <w:r>
        <w:rPr>
          <w:sz w:val="22"/>
        </w:rPr>
        <w:t>Цивільна форма стосується позову ПФУ до фізичної особи про повернення вже виплачених сум. Для оскарження рішення, утримань або призначення пенсії окремо перевірте адміністративну юрисдикцію. За статтею 1215 ЦК добровільно виплачена пенсія як засіб існування має особливий захист; рахункову помилку та недобросовісність потрібно доводити, а не припускати.</w:t>
      </w:r>
    </w:p>
    <w:p>
      <w:pPr>
        <w:pStyle w:val="Heading2"/>
        <w:spacing w:before="80" w:after="80"/>
      </w:pPr>
      <w:r>
        <w:rPr>
          <w:sz w:val="24"/>
        </w:rPr>
        <w:t>Джерела</w:t>
      </w:r>
    </w:p>
    <w:p>
      <w:pPr>
        <w:spacing w:after="80" w:line="252" w:lineRule="auto"/>
      </w:pPr>
      <w:r>
        <w:rPr>
          <w:sz w:val="20"/>
        </w:rPr>
        <w:t>Повний текст рішення: https://youcontrol.com.ua/catalog/court-document/133346950/</w:t>
      </w:r>
    </w:p>
    <w:p>
      <w:pPr>
        <w:spacing w:after="80" w:line="252" w:lineRule="auto"/>
      </w:pPr>
      <w:r>
        <w:rPr>
          <w:sz w:val="20"/>
        </w:rPr>
        <w:t>ЄДРСР: https://reyestr.court.gov.ua/Review/133346950</w:t>
      </w:r>
    </w:p>
    <w:p>
      <w:pPr>
        <w:spacing w:after="80" w:line="252" w:lineRule="auto"/>
      </w:pPr>
      <w:r>
        <w:rPr>
          <w:sz w:val="20"/>
        </w:rPr>
        <w:t>ЦПК України: https://zakon.rada.gov.ua/laws/show/1618-15</w:t>
      </w:r>
    </w:p>
    <w:p>
      <w:pPr>
        <w:spacing w:after="80" w:line="252" w:lineRule="auto"/>
      </w:pPr>
      <w:r>
        <w:rPr>
          <w:sz w:val="20"/>
        </w:rPr>
        <w:t>ЦК України: https://zakon.rada.gov.ua/laws/show/435-15</w:t>
      </w:r>
    </w:p>
    <w:p>
      <w:pPr>
        <w:spacing w:after="80" w:line="252" w:lineRule="auto"/>
      </w:pPr>
      <w:r>
        <w:rPr>
          <w:sz w:val="20"/>
        </w:rPr>
        <w:t>Закон про судовий збір: https://zakon.rada.gov.ua/laws/show/3674-17</w:t>
      </w:r>
    </w:p>
    <w:p>
      <w:pPr>
        <w:spacing w:after="80" w:line="252" w:lineRule="auto"/>
      </w:pPr>
      <w:r>
        <w:rPr>
          <w:sz w:val="20"/>
        </w:rPr>
        <w:t>Пенсійне страхування: https://zakon.rada.gov.ua/laws/show/1058-15</w:t>
      </w:r>
    </w:p>
    <w:p>
      <w:pPr>
        <w:spacing w:after="80" w:line="252" w:lineRule="auto"/>
      </w:pPr>
      <w:r>
        <w:rPr>
          <w:sz w:val="20"/>
        </w:rPr>
        <w:t>Пенсійне забезпечення: https://zakon.rada.gov.ua/laws/show/1788-12</w:t>
      </w:r>
    </w:p>
    <w:p>
      <w:pPr>
        <w:spacing w:after="80" w:line="252" w:lineRule="auto"/>
      </w:pPr>
      <w:r>
        <w:rPr>
          <w:sz w:val="22"/>
        </w:rPr>
        <w:t>Авторська адаптація AVENT. Результат залежить від власних обставин і доказів.</w:t>
      </w:r>
    </w:p>
    <w:p>
      <w:pPr>
        <w:pageBreakBefore/>
      </w:pPr>
      <w:r>
        <w:t>До Голосіївського районного суду міста Києва</w:t>
        <w:br/>
        <w:t>[Актуальна адреса суду]</w:t>
      </w:r>
    </w:p>
    <w:p>
      <w:pPr/>
      <w:r>
        <w:t>Відповідач: [ПІБ / повне найменування]</w:t>
        <w:br/>
        <w:t>Адреса та індекс: [дані]</w:t>
        <w:br/>
        <w:t>РНОКПП / ЄДРПОУ або паспортні дані у передбачених законом випадках: [дані]</w:t>
        <w:br/>
        <w:t>Телефон, електронна пошта: [дані / відсутні]</w:t>
        <w:br/>
        <w:t>Електронний кабінет: [наявний / відсутній]</w:t>
      </w:r>
    </w:p>
    <w:p>
      <w:pPr/>
      <w:r>
        <w:t>Представник за наявності: [ПІБ, адреса, індекс, контакти, повноваження]</w:t>
        <w:br/>
        <w:t>Електронний кабінет представника: [наявний / відсутній]</w:t>
      </w:r>
    </w:p>
    <w:p>
      <w:pPr/>
      <w:r>
        <w:t>Інші учасники справи: [ПІБ / повне найменування та процесуальний статус кожного]</w:t>
        <w:br/>
        <w:t>Адреса та індекс: [дані]</w:t>
        <w:br/>
        <w:t>Відомі ідентифікаційні дані, контакти та електронний кабінет: [дані / невідомо]</w:t>
        <w:br/>
        <w:t>[Повторити блок для кожного учасника]</w:t>
      </w:r>
    </w:p>
    <w:p>
      <w:pPr/>
      <w:r>
        <w:t>Справа №[номер власної справи]</w:t>
        <w:br/>
        <w:t>Суддя: [ПІБ / ще не визначений]</w:t>
      </w:r>
    </w:p>
    <w:p>
      <w:pPr>
        <w:pStyle w:val="Title"/>
        <w:jc w:val="center"/>
      </w:pPr>
      <w:r>
        <w:t>Заперечення проти ототожнення програмної та рахункової помилки пенсії</w:t>
      </w:r>
    </w:p>
    <w:p>
      <w:pPr>
        <w:pStyle w:val="Heading2"/>
      </w:pPr>
      <w:r>
        <w:t>Спірний новий висновок</w:t>
      </w:r>
    </w:p>
    <w:p>
      <w:pPr/>
      <w:r>
        <w:t>У відповіді на відзив ПФУ посилається на [технічний лист, акт, дата], називаючи причину виплати рахунковою помилкою. Документ фактично описує [умову призначення доплати / обчислювальну операцію / загальний невизначений збій]. Заперечую конкретний висновок [опис], оскільки первинні дані [які] не подані або підтверджують інший механізм. Самого слова «рахункова» в листі недостатньо. Якщо реальна арифметична вада доведена, форму адаптую до інших конкретних заперечень, а не заперечую очевидну операцію без підстав.</w:t>
      </w:r>
    </w:p>
    <w:p>
      <w:pPr>
        <w:pStyle w:val="Heading2"/>
      </w:pPr>
      <w:r>
        <w:t>Перевірка формули й періоду</w:t>
      </w:r>
    </w:p>
    <w:p>
      <w:pPr/>
      <w:r>
        <w:t>Правильна за даними позивача база [сума] множилась на [ставка] і давала [результат]. Розбіжність виникла тому, що [обрана не та правова ставка / двічі виконана операція / інше], що видно з [протокол]. Перша причина має бути відмежована від суто арифметичного виконання розрахунку. Доданий документ не пояснює [джерело показників, дату застосування, період], а суми за [місяці] [конкретні розбіжності]. Повернення або утримання [реквізити] вже скорочують залишок. Наводжу послідовну перевірку, а не альтернативний непідтверджений розмір пенсії.</w:t>
      </w:r>
    </w:p>
    <w:p>
      <w:pPr>
        <w:pStyle w:val="Heading2"/>
      </w:pPr>
      <w:r>
        <w:t>Захист добросовісного отримувача</w:t>
      </w:r>
    </w:p>
    <w:p>
      <w:pPr/>
      <w:r>
        <w:t>За статтею 1215 ЦК позивач має довести відповідний виняток із захисту добровільної виплати як засобу існування. Я повідомив(ла) [відомості] належним способом [дата, доказ]; нове твердження про зловживання [чому не підтверджене]. Відмова добровільно повернути суму після спірного листа сама собою не визначає добросовісність на час призначення. Суд оцінює кожний матеріал і сукупність за статтею 89 ЦПК. Ці заперечення не є адміністративною вимогою встановити нову пенсію; вони стосуються саме обов’язку повернути минулі платежі в цивільній справі.</w:t>
      </w:r>
    </w:p>
    <w:p>
      <w:pPr>
        <w:pStyle w:val="Heading2"/>
      </w:pPr>
      <w:r>
        <w:t>Процесуальні відомості та витрати</w:t>
      </w:r>
    </w:p>
    <w:p>
      <w:pPr/>
      <w:r>
        <w:t xml:space="preserve">Документ подаю у строк [ухвала, дата вручення, кінцева дата]. Нові докази [подано своєчасно / конкретні незалежні причини пізнього подання та підтвердження]. Попередній розрахунок власних судових витрат: [збір, правнича допомога, інші витрати, суми]. Оригінали письмових доказів перебувають у [особа, місце]; відповідність доданих копій оригіналам засвідчую. Копії документа і додатків направлено іншим учасникам [дата, спосіб, доказ] за статтею 43 ЦПК. Адвокат і юридична особа зазначають електронні кабінети за статтею 14 ЦПК; для фізичної особи, зокрема ФОП, відомості [наявний / відсутній / невідомо]. </w:t>
      </w:r>
    </w:p>
    <w:p>
      <w:pPr>
        <w:pStyle w:val="Heading2"/>
      </w:pPr>
      <w:r>
        <w:t>Прошу суд</w:t>
      </w:r>
    </w:p>
    <w:p>
      <w:pPr/>
      <w:r>
        <w:t>1. Долучити заперечення та перевірку нового технічного матеріалу.</w:t>
      </w:r>
    </w:p>
    <w:p>
      <w:pPr/>
      <w:r>
        <w:t>2. Не ототожнювати загальну програмну помилку з доведеною рахунковою без установлення її реального механізму.</w:t>
      </w:r>
    </w:p>
    <w:p>
      <w:pPr/>
      <w:r>
        <w:t>3. Відмовити в непідтвердженій частині вимоги з урахуванням статті 1215 ЦК та всіх повернень.</w:t>
      </w:r>
    </w:p>
    <w:p>
      <w:pPr>
        <w:pStyle w:val="Heading2"/>
      </w:pPr>
      <w:r>
        <w:t>Додатки</w:t>
      </w:r>
    </w:p>
    <w:p>
      <w:pPr/>
      <w:r>
        <w:t>1. Відповідь на відзив і документ вручення.</w:t>
      </w:r>
    </w:p>
    <w:p>
      <w:pPr/>
      <w:r>
        <w:t>2. Спірний технічний лист, наявні протоколи й перевірка формули.</w:t>
      </w:r>
    </w:p>
    <w:p>
      <w:pPr/>
      <w:r>
        <w:t>3. Документи правдивих повідомлень, утримань та повернень.</w:t>
      </w:r>
    </w:p>
    <w:p>
      <w:pPr/>
      <w:r>
        <w:t>4. Підтвердження повноважень представника за наявності.</w:t>
      </w:r>
    </w:p>
    <w:p>
      <w:pPr>
        <w:keepNext/>
      </w:pPr>
      <w:r>
        <w:t>5. Доказ направлення документа з додатками учасникам.</w:t>
      </w:r>
    </w:p>
    <w:p>
      <w:pPr>
        <w:keepLines/>
      </w:pPr>
      <w:r>
        <w:t>[Дата]</w:t>
        <w:br/>
        <w:t>[Підпис / КЕП] [ПІБ]</w:t>
      </w:r>
    </w:p>
    <w:sectPr w:rsidR="00FC693F" w:rsidRPr="0006063C" w:rsidSect="00034616">
      <w:footerReference w:type="default" r:id="rId9"/>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4" w:lineRule="auto"/>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64" w:lineRule="auto"/>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20" w:line="264" w:lineRule="auto"/>
      <w:outlineLvl w:val="2"/>
    </w:pPr>
    <w:rPr>
      <w:rFonts w:asciiTheme="majorHAnsi" w:eastAsiaTheme="majorEastAsia" w:hAnsiTheme="majorHAnsi" w:cstheme="majorBidi" w:ascii="Times New Roman" w:hAnsi="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64"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