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Зустрічний позов про частку подружжя у транспорті зі спадкової маси</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07.10.2026.</w:t>
      </w:r>
    </w:p>
    <w:p>
      <w:pPr>
        <w:spacing w:after="80" w:line="252" w:lineRule="auto"/>
      </w:pPr>
      <w:r>
        <w:rPr>
          <w:sz w:val="22"/>
        </w:rPr>
        <w:t>Для пережилого подружжя в уже відкритому спадковому спорі про транспорт, набутий за спільні кошти.</w:t>
      </w:r>
    </w:p>
    <w:p>
      <w:pPr>
        <w:pStyle w:val="Heading2"/>
        <w:spacing w:before="80" w:after="80"/>
      </w:pPr>
      <w:r>
        <w:rPr>
          <w:sz w:val="24"/>
        </w:rPr>
        <w:t>Реальна практика</w:t>
      </w:r>
    </w:p>
    <w:p>
      <w:pPr>
        <w:spacing w:after="80" w:line="252" w:lineRule="auto"/>
      </w:pPr>
      <w:r>
        <w:rPr>
          <w:sz w:val="22"/>
        </w:rPr>
        <w:t>Справа №757/9942/26-ц, акт від 18.08.2026 (ЄДРСР №139072525). Зустрічний позов щодо транспортних засобів і частки пережилого подружжя залишено без руху через недоліки визначення ціни та сплати збору. Суд надав строк для виправлення. Це не рішення про належність майна чи розмір спадкових часток. Подальший перегляд, набрання сили та виконання окремо не перевірені.</w:t>
      </w:r>
    </w:p>
    <w:p>
      <w:pPr>
        <w:pStyle w:val="Heading2"/>
        <w:spacing w:before="80" w:after="80"/>
      </w:pPr>
      <w:r>
        <w:rPr>
          <w:sz w:val="24"/>
        </w:rPr>
        <w:t>Коли застосувати</w:t>
      </w:r>
    </w:p>
    <w:p>
      <w:pPr>
        <w:spacing w:after="80" w:line="252" w:lineRule="auto"/>
      </w:pPr>
      <w:r>
        <w:rPr>
          <w:sz w:val="22"/>
        </w:rPr>
        <w:t>Для пережилого подружжя в уже відкритому спадковому спорі про транспорт, набутий за спільні кошти.</w:t>
      </w:r>
    </w:p>
    <w:p>
      <w:pPr>
        <w:pStyle w:val="Heading2"/>
        <w:spacing w:before="80" w:after="80"/>
      </w:pPr>
      <w:r>
        <w:rPr>
          <w:sz w:val="24"/>
        </w:rPr>
        <w:t>Що перевірити</w:t>
      </w:r>
    </w:p>
    <w:p>
      <w:pPr>
        <w:spacing w:after="80" w:line="252" w:lineRule="auto"/>
      </w:pPr>
      <w:r>
        <w:rPr>
          <w:sz w:val="22"/>
        </w:rPr>
        <w:t>Ціна — вартість заявлених часток. Перевірте коло спадкоємців і строк відзиву.</w:t>
      </w:r>
    </w:p>
    <w:p>
      <w:pPr>
        <w:pStyle w:val="Heading2"/>
        <w:spacing w:before="80" w:after="80"/>
      </w:pPr>
      <w:r>
        <w:rPr>
          <w:sz w:val="24"/>
        </w:rPr>
        <w:t>Подання і витрати</w:t>
      </w:r>
    </w:p>
    <w:p>
      <w:pPr>
        <w:spacing w:after="80" w:line="252" w:lineRule="auto"/>
      </w:pPr>
      <w:r>
        <w:rPr>
          <w:sz w:val="22"/>
        </w:rPr>
        <w:t>Зустрічна майнова вимога фізичної особи: 1% ціни у встановлених законом мінімальних і максимальних межах; електронний коефіцієнт застосовується за належного електронного подання. Учасники з обов’язковим електронним кабінетом виконують статтю 14 ЦПК. Звичайна фізична особа може подати паперове звернення або скористатися Електронним судом.</w:t>
      </w:r>
    </w:p>
    <w:p>
      <w:pPr>
        <w:pStyle w:val="Heading2"/>
        <w:spacing w:before="80" w:after="80"/>
      </w:pPr>
      <w:r>
        <w:rPr>
          <w:sz w:val="24"/>
        </w:rPr>
        <w:t>Джерела</w:t>
      </w:r>
    </w:p>
    <w:p>
      <w:pPr>
        <w:spacing w:after="80" w:line="252" w:lineRule="auto"/>
      </w:pPr>
      <w:r>
        <w:rPr>
          <w:sz w:val="20"/>
        </w:rPr>
        <w:t>Повний текст акта: https://youcontrol.com.ua/catalog/court-document/139072525/</w:t>
      </w:r>
    </w:p>
    <w:p>
      <w:pPr>
        <w:spacing w:after="80" w:line="252" w:lineRule="auto"/>
      </w:pPr>
      <w:r>
        <w:rPr>
          <w:sz w:val="20"/>
        </w:rPr>
        <w:t>ЄДРСР: https://reyestr.court.gov.ua/Review/139072525</w:t>
      </w:r>
    </w:p>
    <w:p>
      <w:pPr>
        <w:spacing w:after="80" w:line="252" w:lineRule="auto"/>
      </w:pPr>
      <w:r>
        <w:rPr>
          <w:sz w:val="20"/>
        </w:rPr>
        <w:t>ЦПК України: https://data.rada.gov.ua/ogd/zak/perv/text/d145512.htm</w:t>
      </w:r>
    </w:p>
    <w:p>
      <w:pPr>
        <w:spacing w:after="80" w:line="252" w:lineRule="auto"/>
      </w:pPr>
      <w:r>
        <w:rPr>
          <w:sz w:val="20"/>
        </w:rPr>
        <w:t>Закон про судовий збір: https://data.rada.gov.ua/ogd/zak/perv/text/d357164.htm</w:t>
      </w:r>
    </w:p>
    <w:p>
      <w:pPr>
        <w:spacing w:after="80" w:line="252" w:lineRule="auto"/>
      </w:pPr>
      <w:r>
        <w:rPr>
          <w:sz w:val="20"/>
        </w:rPr>
        <w:t>Сімейний кодекс: https://data.rada.gov.ua/ogd/zak/perv/text/d95712.htm</w:t>
      </w:r>
    </w:p>
    <w:p>
      <w:pPr>
        <w:spacing w:after="80" w:line="252" w:lineRule="auto"/>
      </w:pPr>
      <w:r>
        <w:rPr>
          <w:sz w:val="20"/>
        </w:rPr>
        <w:t>Цивільний кодекс: https://data.rada.gov.ua/ogd/zak/perv/text/d119580.htm</w:t>
      </w:r>
    </w:p>
    <w:p>
      <w:pPr>
        <w:spacing w:after="80" w:line="252" w:lineRule="auto"/>
      </w:pPr>
      <w:r>
        <w:rPr>
          <w:sz w:val="22"/>
        </w:rPr>
        <w:t>Авторська адаптація AVENT. Результат залежить від власних обставин і доказів.</w:t>
      </w:r>
    </w:p>
    <w:p>
      <w:pPr>
        <w:pageBreakBefore/>
      </w:pPr>
      <w:r>
        <w:t>До Оболонського районного суду міста Києва</w:t>
        <w:br/>
        <w:t>[Актуальна поштова адреса суду]</w:t>
      </w:r>
    </w:p>
    <w:p>
      <w:pPr/>
      <w:r>
        <w:t>Відповідач за первісним позовом / позивач за зустрічним: [ПІБ / повне найменування]</w:t>
        <w:br/>
        <w:t>Адреса та поштовий індекс: [дані]</w:t>
        <w:br/>
        <w:t>РНОКПП / ЄДРПОУ,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r>
        <w:t>Інші учасники: [ПІБ / найменування кожного, процесуальний статус]</w:t>
        <w:br/>
        <w:t>Адреса, індекс, відомі РНОКПП / ЄДРПОУ, контакти: [дані / невідомо]</w:t>
        <w:br/>
        <w:t>Електронний кабінет кожного: [наявний / відсутній / невідомо]</w:t>
        <w:br/>
        <w:t>[Повторити для відповідачів, третіх або заінтересованих осіб]</w:t>
      </w:r>
    </w:p>
    <w:p>
      <w:pPr/>
      <w:r>
        <w:t>Справа №[номер власної справи / ще не присвоєний]</w:t>
        <w:br/>
        <w:t>Суддя: [ПІБ / ще не визначений]</w:t>
      </w:r>
    </w:p>
    <w:p>
      <w:pPr>
        <w:pStyle w:val="Title"/>
        <w:jc w:val="center"/>
      </w:pPr>
      <w:r>
        <w:t>Зустрічний позов про частку подружжя у транспорті зі спадкової маси</w:t>
      </w:r>
    </w:p>
    <w:p>
      <w:pPr>
        <w:pStyle w:val="Heading2"/>
      </w:pPr>
      <w:r>
        <w:t>Спадковий спір і спільне майно</w:t>
      </w:r>
    </w:p>
    <w:p>
      <w:pPr/>
      <w:r>
        <w:t>Первісний позов [хто, вимоги] стосується спадкування після смерті [ПІБ, дата]. Під час шлюбу з померлим набуті [транспорт, модель, VIN, дати]. Спільне джерело коштів підтверджують [договори, платежі]. Моя частка у спільному майні не входить до спадщини; предмет зустрічної вимоги пов’язаний з первісним.</w:t>
      </w:r>
    </w:p>
    <w:p>
      <w:pPr>
        <w:pStyle w:val="Heading2"/>
      </w:pPr>
      <w:r>
        <w:t>Вартість і частка</w:t>
      </w:r>
    </w:p>
    <w:p>
      <w:pPr/>
      <w:r>
        <w:t>Ринкова вартість кожного транспортного засобу [сума, дата, оцінка]. Ціна моєї вимоги дорівнює вартості часток, права на які прошу визнати: [окремий розрахунок]. Підстави рівності / іншого співвідношення [статті 60, 70 СК, договір, докази]. Сам факт реєстрації на померлого не доводить особисту власність.</w:t>
      </w:r>
    </w:p>
    <w:p>
      <w:pPr>
        <w:pStyle w:val="Heading2"/>
      </w:pPr>
      <w:r>
        <w:t>Процесуальне поєднання</w:t>
      </w:r>
    </w:p>
    <w:p>
      <w:pPr/>
      <w:r>
        <w:t>Подаю зустрічний позов у строк відзиву [дата вручення, кінцева дата] за статтями 193–194 ЦПК. Спільний розгляд доцільний, оскільки визначає склад спадщини; спадкоємців і інших осіб, на права яких вплине рішення, зазначено вище. Підстави статей 1218, 1226 ЦК та відповідних норм СК застосовні до [власні факти].</w:t>
      </w:r>
    </w:p>
    <w:p>
      <w:pPr>
        <w:pStyle w:val="Heading2"/>
      </w:pPr>
      <w:r>
        <w:t>Процесуальні відомості</w:t>
      </w:r>
    </w:p>
    <w:p>
      <w:pPr/>
      <w:r>
        <w:t>Підсудність цього суду підтверджує [обставина, норма ЦПК, доказ]. Ціна позову [сума й розрахунок / вимога немайнова]; судовий збір [сума, квитанція / законна пільга, докази]. Досудові заходи [опис / не проводились]. Забезпечення до позову [відсутнє / дата й ухвала]. Докази, які ще не можу подати [перелік, причини, окреме клопотання / відсутні]. Іншого тотожного позову не подано. Попередні судові витрати [склад, суми]. Копії звернення й додатків направлено іншим учасникам [дата, спосіб, доказ] з урахуванням статті 43 ЦПК. Оригінали знаходяться у [особа, місце]; відповідність доданих копій оригіналам підтверджую. Представництво [особисто / документ про повноваження].</w:t>
      </w:r>
    </w:p>
    <w:p>
      <w:pPr>
        <w:pStyle w:val="Heading2"/>
      </w:pPr>
      <w:r>
        <w:t>Прошу суд</w:t>
      </w:r>
    </w:p>
    <w:p>
      <w:pPr/>
      <w:r>
        <w:t>1. Прийняти зустрічну вимогу до спільного розгляду з первісним позовом.</w:t>
      </w:r>
    </w:p>
    <w:p>
      <w:pPr/>
      <w:r>
        <w:t>2. Визнати за [ПІБ] право власності на [частка] кожного транспортного засобу [повні реквізити] як частку у спільному майні подружжя, що не входить до спадщини після [ПІБ].</w:t>
      </w:r>
    </w:p>
    <w:p>
      <w:pPr/>
      <w:r>
        <w:t>3. Розподілити доведені судові витрати.</w:t>
      </w:r>
    </w:p>
    <w:p>
      <w:pPr>
        <w:pStyle w:val="Heading2"/>
      </w:pPr>
      <w:r>
        <w:t>Додатки</w:t>
      </w:r>
    </w:p>
    <w:p>
      <w:pPr/>
      <w:r>
        <w:t>1. Шлюб, смерть, набуття транспортних засобів та спільне джерело коштів.</w:t>
      </w:r>
    </w:p>
    <w:p>
      <w:pPr/>
      <w:r>
        <w:t>2. Відомості про спадкову справу й учасників.</w:t>
      </w:r>
    </w:p>
    <w:p>
      <w:pPr/>
      <w:r>
        <w:t>3. Оцінка кожного об’єкта, розрахунок ціни й квитанція збору / пільга.</w:t>
      </w:r>
    </w:p>
    <w:p>
      <w:pPr/>
      <w:r>
        <w:t>4. Документ про повноваження представника, якщо звернення підписує представник.</w:t>
      </w:r>
    </w:p>
    <w:p>
      <w:pPr/>
      <w:r>
        <w:t>5. Підтвердження надсилання копій іншим учасникам у застосовному порядку.</w:t>
      </w:r>
    </w:p>
    <w:p>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