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Зустрічний позов щодо дарування частки житла з порушенням прав дитини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№756/12336/25, рішення від 26.03.2026 (ЄДРСР №135463534). Суд зобов’язав співвласника надати іншому співвласнику ключі від квартири та поштової скриньки. Зустрічну вимогу про недійсність дарування частки через права дітей відхилено: порушення їхніх прав на момент правочину не доведено. У самому тексті рішення зазначено 26.03.2026, повний текст складено 06.04.2026; каталог позначає його датою повного тексту. Реєстрацію дитини та фактичне користування оцінюють за конкретними доказами, без універсального правила про автоматичну недійсність чи чинність дарування.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Належному позивачу у взаємопов’язаному спорі, який доводить конкретне порушення прав дитини даруванням.</w:t>
      </w:r>
    </w:p>
    <w:p>
      <w:pPr>
        <w:pStyle w:val="Heading2"/>
        <w:spacing w:before="80" w:after="80"/>
      </w:pPr>
      <w:r>
        <w:rPr>
          <w:sz w:val="24"/>
        </w:rPr>
        <w:t>Критична дата</w:t>
      </w:r>
    </w:p>
    <w:p>
      <w:pPr>
        <w:spacing w:after="80" w:line="252" w:lineRule="auto"/>
      </w:pPr>
      <w:r>
        <w:rPr>
          <w:sz w:val="22"/>
        </w:rPr>
        <w:t>Досліджуйте право і факти на день правочину. Проживання сьогодні не доводить автоматично користування в минулому.</w:t>
      </w:r>
    </w:p>
    <w:p>
      <w:pPr>
        <w:pStyle w:val="Heading2"/>
        <w:spacing w:before="80" w:after="80"/>
      </w:pPr>
      <w:r>
        <w:rPr>
          <w:sz w:val="24"/>
        </w:rPr>
        <w:t>Строк і збір</w:t>
      </w:r>
    </w:p>
    <w:p>
      <w:pPr>
        <w:spacing w:after="80" w:line="252" w:lineRule="auto"/>
      </w:pPr>
      <w:r>
        <w:rPr>
          <w:sz w:val="22"/>
        </w:rPr>
        <w:t>Зустрічний позов подається у строк відзиву і має відповідати статтям 175–177 та 194 ЦПК. Пільга через участь дитини не універсальна.</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https://youcontrol.com.ua/catalog/court-document/135463534/</w:t>
      </w:r>
    </w:p>
    <w:p>
      <w:pPr>
        <w:spacing w:after="80" w:line="252" w:lineRule="auto"/>
      </w:pPr>
      <w:r>
        <w:rPr>
          <w:sz w:val="20"/>
        </w:rPr>
        <w:t>ЄДРСР: https://reyestr.court.gov.ua/Review/135463534</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про охорону дитинства: https://zakon.rada.gov.ua/laws/show/2402-14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Оболонського районного суду міста Києва</w:t>
        <w:br/>
        <w:t>[Актуальна адреса суду]</w:t>
      </w:r>
    </w:p>
    <w:p>
      <w:pPr>
        <w:spacing w:after="80" w:line="252" w:lineRule="auto"/>
      </w:pPr>
      <w:r>
        <w:t>Позивач за зустрічним позовом: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Зустрічний позов щодо дарування частки житла з порушенням прав дитини</w:t>
      </w:r>
    </w:p>
    <w:p>
      <w:pPr>
        <w:pStyle w:val="Heading2"/>
        <w:spacing w:after="80" w:line="252" w:lineRule="auto"/>
      </w:pPr>
      <w:r>
        <w:t>Первісний спір і моє право</w:t>
      </w:r>
    </w:p>
    <w:p>
      <w:pPr>
        <w:spacing w:after="80" w:line="252" w:lineRule="auto"/>
      </w:pPr>
      <w:r>
        <w:t>Первісний позивач [особа] вимагає доступу як набувач частки квартири [адреса]. Оспорюю договір дарування [дата, сторони, нотаріальний номер] через [конкретне порушення прав]. Звертаюся [у власному інтересі / як законний представник дитини з наведеними повними даними]. Власний інтерес і повноваження підтверджую [документи]; можливий конфлікт інтересів представника [дані, належне вирішення].</w:t>
      </w:r>
    </w:p>
    <w:p>
      <w:pPr>
        <w:pStyle w:val="Heading2"/>
        <w:spacing w:after="80" w:line="252" w:lineRule="auto"/>
      </w:pPr>
      <w:r>
        <w:t>Право дитини на дату договору</w:t>
      </w:r>
    </w:p>
    <w:p>
      <w:pPr>
        <w:spacing w:after="80" w:line="252" w:lineRule="auto"/>
      </w:pPr>
      <w:r>
        <w:t>Дитина [дані, вік на дату договору] мала [доведене право власності / користування] саме цим житлом за [підстава]. Історію проживання на дату дарування доводять [документи того періоду]. Реєстрація адреси [дані] оцінюється разом із фактичним користуванням і правовою підставою. Довідку, складену через роки, не подаю як автоматичний доказ стану на день договору.</w:t>
      </w:r>
    </w:p>
    <w:p>
      <w:pPr>
        <w:pStyle w:val="Heading2"/>
        <w:spacing w:after="80" w:line="252" w:lineRule="auto"/>
      </w:pPr>
      <w:r>
        <w:t>Порушення і правова підстава</w:t>
      </w:r>
    </w:p>
    <w:p>
      <w:pPr>
        <w:spacing w:after="80" w:line="252" w:lineRule="auto"/>
      </w:pPr>
      <w:r>
        <w:t>Дарування змінило [конкретне право чи можливість користування], що підтверджує [доказ], а не тільки зміна особи співвласника. Дозвіл органу опіки [був / відсутній], його необхідність у цій ситуації обґрунтовую [застосовна норма й факти]. За статтями 203 і 215 ЦК та статтею 18 Закону про охорону дитинства визначаю порушення на момент правочину. Саму відсутність дозволу без доведення зачепленого права не називаю достатньою.</w:t>
      </w:r>
    </w:p>
    <w:p>
      <w:pPr>
        <w:pStyle w:val="Heading2"/>
        <w:spacing w:after="80" w:line="252" w:lineRule="auto"/>
      </w:pPr>
      <w:r>
        <w:t>Взаємний зв’язок і наслідок</w:t>
      </w:r>
    </w:p>
    <w:p>
      <w:pPr>
        <w:spacing w:after="80" w:line="252" w:lineRule="auto"/>
      </w:pPr>
      <w:r>
        <w:t>Зустрічний позов подаю у строк відзиву [дати] за статтями 193–194 ЦПК. Обидві вимоги пов’язані титулом набувача; задоволення зустрічної може вплинути на первісну [пояснення]. Належні відповідачі [сторони договору], інші учасники [нотаріус, орган опіки за підставами]. Обраний наслідок недійсності [точний зміст] обґрунтовано окремо; не прошу механічного скасування всіх реєстрацій. Давність, майновий наслідок, ціну та збір перевірено [дані].</w:t>
      </w:r>
    </w:p>
    <w:p>
      <w:pPr>
        <w:pStyle w:val="Heading2"/>
        <w:spacing w:after="80" w:line="252" w:lineRule="auto"/>
      </w:pPr>
      <w:r>
        <w:t>Процесуальні відомості</w:t>
      </w:r>
    </w:p>
    <w:p>
      <w:pPr>
        <w:spacing w:after="80" w:line="252" w:lineRule="auto"/>
      </w:pPr>
      <w:r>
        <w:t>Підсудність: [конкретна підстава статей 27–28 ЦПК і доказ]. Ціна майнових вимог [сума, розрахунок]. Судовий збір: [пільга з доказами / чинна ставка, обчислення і квитанція]. Попередні судові витрати: [збір, експертиза, правнича допомога, інші витрати та суми]. Досудове врегулювання: [дата і результат / не проводилось]; забезпечення до позову: [ухвала / не проводилось]. Наявні докази додаю; неподані докази та причини: [перелік / немає]. Іншого позову до цих відповідачів з тим самим предметом і підставами не подано.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Прийняти зустрічний позов до спільного розгляду за статтями 193–194 ЦПК.</w:t>
      </w:r>
    </w:p>
    <w:p>
      <w:pPr>
        <w:spacing w:after="80" w:line="252" w:lineRule="auto"/>
      </w:pPr>
      <w:r>
        <w:t>2. Визнати недійсним конкретний договір дарування [реквізити] з наведених доведених підстав.</w:t>
      </w:r>
    </w:p>
    <w:p>
      <w:pPr>
        <w:spacing w:after="80" w:line="252" w:lineRule="auto"/>
      </w:pPr>
      <w:r>
        <w:t>3. Застосувати [точно визначений належний наслідок] за наявності відповідного обґрунтування.</w:t>
      </w:r>
    </w:p>
    <w:p>
      <w:pPr>
        <w:spacing w:after="80" w:line="252" w:lineRule="auto"/>
      </w:pPr>
      <w:r>
        <w:t>4. Розподілити підтверджені судові витрати.</w:t>
      </w:r>
    </w:p>
    <w:p>
      <w:pPr>
        <w:pStyle w:val="Heading2"/>
        <w:spacing w:after="80" w:line="252" w:lineRule="auto"/>
      </w:pPr>
      <w:r>
        <w:t>Додатки</w:t>
      </w:r>
    </w:p>
    <w:p>
      <w:pPr>
        <w:spacing w:after="80" w:line="252" w:lineRule="auto"/>
      </w:pPr>
      <w:r>
        <w:t>1. Первісний позов, вручення і докази строку зустрічного.</w:t>
      </w:r>
    </w:p>
    <w:p>
      <w:pPr>
        <w:spacing w:after="80" w:line="252" w:lineRule="auto"/>
      </w:pPr>
      <w:r>
        <w:t>2. Договір, титул та матеріали права дитини на дату дарування.</w:t>
      </w:r>
    </w:p>
    <w:p>
      <w:pPr>
        <w:spacing w:after="80" w:line="252" w:lineRule="auto"/>
      </w:pPr>
      <w:r>
        <w:t>3. Дозвіл або документи його відсутності та доказ порушення прав.</w:t>
      </w:r>
    </w:p>
    <w:p>
      <w:pPr>
        <w:spacing w:after="80" w:line="252" w:lineRule="auto"/>
      </w:pPr>
      <w:r>
        <w:t>4. Повноваження представника, ціна за потреби, збір або пільга.</w:t>
      </w:r>
    </w:p>
    <w:p>
      <w:pPr>
        <w:spacing w:after="80" w:line="252" w:lineRule="auto"/>
      </w:pPr>
      <w:r>
        <w:t>5. Документ про повноваження представника — за наявності.</w:t>
      </w:r>
    </w:p>
    <w:p>
      <w:pPr>
        <w:keepNext/>
        <w:spacing w:after="80" w:line="252" w:lineRule="auto"/>
      </w:pPr>
      <w:r>
        <w:t>6.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